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15" w:tblpY="1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52"/>
        <w:gridCol w:w="1678"/>
        <w:gridCol w:w="1440"/>
        <w:gridCol w:w="1382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ind w:left="239" w:leftChars="114" w:right="0" w:rightChars="0" w:firstLine="960" w:firstLineChars="400"/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lang w:val="en-US" w:eastAsia="zh-CN"/>
              </w:rPr>
              <w:t xml:space="preserve"> 单位地址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rPr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08" w:type="dxa"/>
            <w:vMerge w:val="restar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资质证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营业执照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范围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拟报名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宗地号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0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ind w:left="3990" w:hanging="3990" w:hangingChars="19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0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审查组意见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20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县自然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资源局意见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2020年   月   日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1200" w:firstLineChars="4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交口县公开选择土地评估宗地勘界机构报名表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right"/>
        <w:textAlignment w:val="auto"/>
        <w:outlineLvl w:val="9"/>
        <w:rPr>
          <w:rFonts w:hint="eastAsia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right"/>
        <w:textAlignment w:val="auto"/>
        <w:outlineLvl w:val="9"/>
        <w:rPr>
          <w:rFonts w:hint="eastAsia"/>
          <w:sz w:val="24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B1EA6"/>
    <w:rsid w:val="5E0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2020-11-24T08:39:00Z</dcterms:created>
  <dc:creator></dc:creator>
  <cp:lastModifiedBy></cp:lastModifiedBy>
  <dcterms:modified xsi:type="dcterms:W3CDTF">2020-11-24T08:39:49Z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