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12DE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山西转型综合改革示范区</w:t>
      </w:r>
    </w:p>
    <w:p w14:paraId="55165CA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规划建设十条规定</w:t>
      </w:r>
      <w:r>
        <w:rPr>
          <w:rFonts w:hint="eastAsia" w:ascii="方正小标宋简体" w:hAnsi="方正小标宋简体" w:eastAsia="方正小标宋简体" w:cs="方正小标宋简体"/>
          <w:color w:val="auto"/>
          <w:sz w:val="44"/>
          <w:szCs w:val="44"/>
          <w:highlight w:val="none"/>
          <w:lang w:eastAsia="zh-CN"/>
        </w:rPr>
        <w:t>（</w:t>
      </w:r>
      <w:r>
        <w:rPr>
          <w:rFonts w:hint="eastAsia" w:ascii="宋体" w:hAnsi="宋体" w:eastAsia="宋体" w:cs="宋体"/>
          <w:color w:val="auto"/>
          <w:sz w:val="44"/>
          <w:szCs w:val="44"/>
          <w:highlight w:val="none"/>
          <w:lang w:val="en-US" w:eastAsia="zh-CN"/>
        </w:rPr>
        <w:t>2026</w:t>
      </w:r>
      <w:r>
        <w:rPr>
          <w:rFonts w:hint="eastAsia" w:ascii="方正小标宋简体" w:hAnsi="方正小标宋简体" w:eastAsia="方正小标宋简体" w:cs="方正小标宋简体"/>
          <w:color w:val="auto"/>
          <w:sz w:val="44"/>
          <w:szCs w:val="44"/>
          <w:highlight w:val="none"/>
          <w:lang w:val="en-US" w:eastAsia="zh-CN"/>
        </w:rPr>
        <w:t>年版）</w:t>
      </w:r>
    </w:p>
    <w:p w14:paraId="0136E5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（征求</w:t>
      </w: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意见稿）</w:t>
      </w:r>
    </w:p>
    <w:p w14:paraId="203845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51BC2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适应高质量发展新要求，落实</w:t>
      </w:r>
      <w:r>
        <w:rPr>
          <w:rFonts w:hint="eastAsia" w:ascii="仿宋_GB2312" w:hAnsi="仿宋_GB2312" w:eastAsia="仿宋_GB2312" w:cs="仿宋_GB2312"/>
          <w:color w:val="auto"/>
          <w:sz w:val="32"/>
          <w:szCs w:val="32"/>
          <w:highlight w:val="none"/>
        </w:rPr>
        <w:t>创新、宜居、美丽、韧性、文明、智慧的现代化</w:t>
      </w:r>
      <w:r>
        <w:rPr>
          <w:rFonts w:hint="eastAsia" w:ascii="仿宋_GB2312" w:hAnsi="仿宋_GB2312" w:eastAsia="仿宋_GB2312" w:cs="仿宋_GB2312"/>
          <w:color w:val="auto"/>
          <w:sz w:val="32"/>
          <w:szCs w:val="32"/>
          <w:highlight w:val="none"/>
          <w:lang w:val="en-US" w:eastAsia="zh-CN"/>
        </w:rPr>
        <w:t>城市建设目标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发挥山西转型综改示范区的示范引领作用，衔接国家和省市相关政策规定及行业标准，</w:t>
      </w:r>
      <w:r>
        <w:rPr>
          <w:rFonts w:hint="eastAsia" w:ascii="仿宋_GB2312" w:hAnsi="仿宋_GB2312" w:eastAsia="仿宋_GB2312" w:cs="仿宋_GB2312"/>
          <w:color w:val="auto"/>
          <w:sz w:val="32"/>
          <w:szCs w:val="32"/>
          <w:highlight w:val="none"/>
        </w:rPr>
        <w:t>结合实际，</w:t>
      </w:r>
      <w:r>
        <w:rPr>
          <w:rFonts w:hint="eastAsia" w:ascii="仿宋_GB2312" w:hAnsi="仿宋_GB2312" w:eastAsia="仿宋_GB2312" w:cs="仿宋_GB2312"/>
          <w:color w:val="auto"/>
          <w:sz w:val="32"/>
          <w:szCs w:val="32"/>
          <w:highlight w:val="none"/>
          <w:lang w:val="en-US" w:eastAsia="zh-CN"/>
        </w:rPr>
        <w:t>提出</w:t>
      </w:r>
      <w:r>
        <w:rPr>
          <w:rFonts w:hint="eastAsia" w:ascii="仿宋_GB2312" w:hAnsi="仿宋_GB2312" w:eastAsia="仿宋_GB2312" w:cs="仿宋_GB2312"/>
          <w:color w:val="auto"/>
          <w:sz w:val="32"/>
          <w:szCs w:val="32"/>
          <w:highlight w:val="none"/>
          <w:lang w:eastAsia="zh-CN"/>
        </w:rPr>
        <w:t>山西转型综改示范区</w:t>
      </w:r>
      <w:r>
        <w:rPr>
          <w:rFonts w:hint="eastAsia" w:ascii="仿宋_GB2312" w:hAnsi="仿宋_GB2312" w:eastAsia="仿宋_GB2312" w:cs="仿宋_GB2312"/>
          <w:color w:val="auto"/>
          <w:sz w:val="32"/>
          <w:szCs w:val="32"/>
          <w:highlight w:val="none"/>
        </w:rPr>
        <w:t>规划建设十条</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highlight w:val="none"/>
        </w:rPr>
        <w:t>如下</w:t>
      </w:r>
      <w:r>
        <w:rPr>
          <w:rFonts w:hint="eastAsia" w:ascii="仿宋_GB2312" w:hAnsi="仿宋_GB2312" w:eastAsia="仿宋_GB2312" w:cs="仿宋_GB2312"/>
          <w:color w:val="auto"/>
          <w:sz w:val="32"/>
          <w:szCs w:val="32"/>
          <w:highlight w:val="none"/>
          <w:lang w:eastAsia="zh-CN"/>
        </w:rPr>
        <w:t>：</w:t>
      </w:r>
    </w:p>
    <w:p w14:paraId="7822F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一、高效利用土地</w:t>
      </w:r>
    </w:p>
    <w:p w14:paraId="673A3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提高土地利用效率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鼓励“工业上楼”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项目布局合理紧凑，无特殊生产工艺、结构要求的工业及仓储项目，厂（库）房层数不应低于</w:t>
      </w:r>
      <w:r>
        <w:rPr>
          <w:rFonts w:hint="eastAsia" w:ascii="宋体" w:hAnsi="宋体" w:eastAsia="宋体" w:cs="宋体"/>
          <w:sz w:val="32"/>
          <w:szCs w:val="32"/>
          <w:highlight w:val="none"/>
        </w:rPr>
        <w:t>2</w:t>
      </w:r>
      <w:r>
        <w:rPr>
          <w:rFonts w:hint="eastAsia" w:ascii="仿宋_GB2312" w:hAnsi="仿宋_GB2312" w:eastAsia="仿宋_GB2312" w:cs="仿宋_GB2312"/>
          <w:sz w:val="32"/>
          <w:szCs w:val="32"/>
          <w:highlight w:val="none"/>
        </w:rPr>
        <w:t>层，标准厂房一般不低于</w:t>
      </w:r>
      <w:r>
        <w:rPr>
          <w:rFonts w:hint="eastAsia" w:ascii="宋体" w:hAnsi="宋体" w:eastAsia="宋体" w:cs="宋体"/>
          <w:sz w:val="32"/>
          <w:szCs w:val="32"/>
          <w:highlight w:val="none"/>
        </w:rPr>
        <w:t>3</w:t>
      </w:r>
      <w:r>
        <w:rPr>
          <w:rFonts w:hint="eastAsia" w:ascii="仿宋_GB2312" w:hAnsi="仿宋_GB2312" w:eastAsia="仿宋_GB2312" w:cs="仿宋_GB2312"/>
          <w:sz w:val="32"/>
          <w:szCs w:val="32"/>
          <w:highlight w:val="none"/>
        </w:rPr>
        <w:t>层。工业用地容积率</w:t>
      </w:r>
      <w:r>
        <w:rPr>
          <w:rFonts w:hint="eastAsia" w:ascii="仿宋_GB2312" w:hAnsi="仿宋_GB2312" w:eastAsia="仿宋_GB2312" w:cs="仿宋_GB2312"/>
          <w:sz w:val="32"/>
          <w:szCs w:val="32"/>
          <w:highlight w:val="none"/>
          <w:lang w:val="en-US" w:eastAsia="zh-CN"/>
        </w:rPr>
        <w:t>潇河和阳曲产业园区</w:t>
      </w:r>
      <w:r>
        <w:rPr>
          <w:rFonts w:hint="eastAsia" w:ascii="仿宋_GB2312" w:hAnsi="仿宋_GB2312" w:eastAsia="仿宋_GB2312" w:cs="仿宋_GB2312"/>
          <w:sz w:val="32"/>
          <w:szCs w:val="32"/>
          <w:highlight w:val="none"/>
        </w:rPr>
        <w:t>不应低于</w:t>
      </w:r>
      <w:r>
        <w:rPr>
          <w:rFonts w:hint="eastAsia" w:ascii="宋体" w:hAnsi="宋体" w:eastAsia="宋体" w:cs="宋体"/>
          <w:sz w:val="32"/>
          <w:szCs w:val="32"/>
          <w:highlight w:val="none"/>
        </w:rPr>
        <w:t>1</w:t>
      </w:r>
      <w:r>
        <w:rPr>
          <w:rFonts w:hint="eastAsia" w:ascii="仿宋_GB2312" w:hAnsi="仿宋_GB2312" w:eastAsia="仿宋_GB2312" w:cs="仿宋_GB2312"/>
          <w:sz w:val="32"/>
          <w:szCs w:val="32"/>
          <w:highlight w:val="none"/>
        </w:rPr>
        <w:t>.</w:t>
      </w:r>
      <w:r>
        <w:rPr>
          <w:rFonts w:hint="eastAsia" w:ascii="宋体" w:hAnsi="宋体" w:eastAsia="宋体" w:cs="宋体"/>
          <w:sz w:val="32"/>
          <w:szCs w:val="32"/>
          <w:highlight w:val="none"/>
        </w:rPr>
        <w:t>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其他园区不应低于</w:t>
      </w:r>
      <w:r>
        <w:rPr>
          <w:rFonts w:hint="eastAsia" w:ascii="宋体" w:hAnsi="宋体" w:eastAsia="宋体" w:cs="宋体"/>
          <w:sz w:val="32"/>
          <w:szCs w:val="32"/>
          <w:highlight w:val="none"/>
          <w:lang w:val="en-US" w:eastAsia="zh-CN"/>
        </w:rPr>
        <w:t>1</w:t>
      </w: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2</w:t>
      </w:r>
      <w:r>
        <w:rPr>
          <w:rFonts w:hint="eastAsia" w:ascii="仿宋_GB2312" w:hAnsi="仿宋_GB2312" w:eastAsia="仿宋_GB2312" w:cs="仿宋_GB2312"/>
          <w:sz w:val="32"/>
          <w:szCs w:val="32"/>
          <w:highlight w:val="none"/>
        </w:rPr>
        <w:t>（单层厂房层高超过</w:t>
      </w:r>
      <w:r>
        <w:rPr>
          <w:rFonts w:hint="eastAsia" w:ascii="宋体" w:hAnsi="宋体" w:eastAsia="宋体" w:cs="宋体"/>
          <w:sz w:val="32"/>
          <w:szCs w:val="32"/>
          <w:highlight w:val="none"/>
        </w:rPr>
        <w:t>8</w:t>
      </w:r>
      <w:r>
        <w:rPr>
          <w:rFonts w:hint="default" w:ascii="Times New Roman" w:hAnsi="Times New Roman" w:eastAsia="仿宋_GB2312" w:cs="Times New Roman"/>
          <w:sz w:val="32"/>
          <w:szCs w:val="32"/>
          <w:highlight w:val="none"/>
        </w:rPr>
        <w:t>m</w:t>
      </w:r>
      <w:r>
        <w:rPr>
          <w:rFonts w:hint="eastAsia" w:ascii="仿宋_GB2312" w:hAnsi="仿宋_GB2312" w:eastAsia="仿宋_GB2312" w:cs="仿宋_GB2312"/>
          <w:sz w:val="32"/>
          <w:szCs w:val="32"/>
          <w:highlight w:val="none"/>
        </w:rPr>
        <w:t>时，计容面积按</w:t>
      </w:r>
      <w:r>
        <w:rPr>
          <w:rFonts w:hint="eastAsia" w:ascii="宋体" w:hAnsi="宋体" w:eastAsia="宋体" w:cs="宋体"/>
          <w:sz w:val="32"/>
          <w:szCs w:val="32"/>
          <w:highlight w:val="none"/>
        </w:rPr>
        <w:t>2</w:t>
      </w:r>
      <w:r>
        <w:rPr>
          <w:rFonts w:hint="eastAsia" w:ascii="仿宋_GB2312" w:hAnsi="仿宋_GB2312" w:eastAsia="仿宋_GB2312" w:cs="仿宋_GB2312"/>
          <w:sz w:val="32"/>
          <w:szCs w:val="32"/>
          <w:highlight w:val="none"/>
        </w:rPr>
        <w:t>层计算；超过</w:t>
      </w:r>
      <w:r>
        <w:rPr>
          <w:rFonts w:hint="eastAsia" w:ascii="宋体" w:hAnsi="宋体" w:eastAsia="宋体" w:cs="宋体"/>
          <w:sz w:val="32"/>
          <w:szCs w:val="32"/>
          <w:highlight w:val="none"/>
        </w:rPr>
        <w:t>12</w:t>
      </w:r>
      <w:r>
        <w:rPr>
          <w:rFonts w:hint="default" w:ascii="Times New Roman" w:hAnsi="Times New Roman" w:eastAsia="仿宋_GB2312" w:cs="Times New Roman"/>
          <w:sz w:val="32"/>
          <w:szCs w:val="32"/>
          <w:highlight w:val="none"/>
        </w:rPr>
        <w:t>m</w:t>
      </w:r>
      <w:r>
        <w:rPr>
          <w:rFonts w:hint="eastAsia" w:ascii="仿宋_GB2312" w:hAnsi="仿宋_GB2312" w:eastAsia="仿宋_GB2312" w:cs="仿宋_GB2312"/>
          <w:sz w:val="32"/>
          <w:szCs w:val="32"/>
          <w:highlight w:val="none"/>
        </w:rPr>
        <w:t>时，按</w:t>
      </w:r>
      <w:r>
        <w:rPr>
          <w:rFonts w:hint="eastAsia" w:ascii="宋体" w:hAnsi="宋体" w:eastAsia="宋体" w:cs="宋体"/>
          <w:sz w:val="32"/>
          <w:szCs w:val="32"/>
          <w:highlight w:val="none"/>
        </w:rPr>
        <w:t>3</w:t>
      </w:r>
      <w:r>
        <w:rPr>
          <w:rFonts w:hint="eastAsia" w:ascii="仿宋_GB2312" w:hAnsi="仿宋_GB2312" w:eastAsia="仿宋_GB2312" w:cs="仿宋_GB2312"/>
          <w:sz w:val="32"/>
          <w:szCs w:val="32"/>
          <w:highlight w:val="none"/>
        </w:rPr>
        <w:t>层计算），建筑密度不低于</w:t>
      </w:r>
      <w:r>
        <w:rPr>
          <w:rFonts w:hint="eastAsia" w:ascii="宋体" w:hAnsi="宋体" w:eastAsia="宋体" w:cs="宋体"/>
          <w:color w:val="auto"/>
          <w:sz w:val="32"/>
          <w:szCs w:val="32"/>
          <w:highlight w:val="none"/>
          <w:lang w:val="en-US" w:eastAsia="zh-CN"/>
        </w:rPr>
        <w:t>40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rPr>
        <w:t>；科研用地容积率学府和唐槐产业园区不得低于</w:t>
      </w:r>
      <w:r>
        <w:rPr>
          <w:rFonts w:hint="eastAsia" w:ascii="宋体" w:hAnsi="宋体" w:eastAsia="宋体" w:cs="宋体"/>
          <w:sz w:val="32"/>
          <w:szCs w:val="32"/>
          <w:highlight w:val="none"/>
        </w:rPr>
        <w:t>2</w:t>
      </w:r>
      <w:r>
        <w:rPr>
          <w:rFonts w:hint="eastAsia" w:ascii="仿宋_GB2312" w:hAnsi="仿宋_GB2312" w:eastAsia="仿宋_GB2312" w:cs="仿宋_GB2312"/>
          <w:sz w:val="32"/>
          <w:szCs w:val="32"/>
          <w:highlight w:val="none"/>
        </w:rPr>
        <w:t>.</w:t>
      </w:r>
      <w:r>
        <w:rPr>
          <w:rFonts w:hint="eastAsia" w:ascii="宋体" w:hAnsi="宋体" w:eastAsia="宋体" w:cs="宋体"/>
          <w:sz w:val="32"/>
          <w:szCs w:val="32"/>
          <w:highlight w:val="none"/>
        </w:rPr>
        <w:t>0</w:t>
      </w:r>
      <w:r>
        <w:rPr>
          <w:rFonts w:hint="eastAsia" w:ascii="仿宋_GB2312" w:hAnsi="仿宋_GB2312" w:eastAsia="仿宋_GB2312" w:cs="仿宋_GB2312"/>
          <w:sz w:val="32"/>
          <w:szCs w:val="32"/>
          <w:highlight w:val="none"/>
        </w:rPr>
        <w:t>，其他园区不得低于</w:t>
      </w:r>
      <w:r>
        <w:rPr>
          <w:rFonts w:hint="eastAsia" w:ascii="宋体" w:hAnsi="宋体" w:eastAsia="宋体" w:cs="宋体"/>
          <w:sz w:val="32"/>
          <w:szCs w:val="32"/>
          <w:highlight w:val="none"/>
        </w:rPr>
        <w:t>1</w:t>
      </w:r>
      <w:r>
        <w:rPr>
          <w:rFonts w:hint="eastAsia" w:ascii="仿宋_GB2312" w:hAnsi="仿宋_GB2312" w:eastAsia="仿宋_GB2312" w:cs="仿宋_GB2312"/>
          <w:sz w:val="32"/>
          <w:szCs w:val="32"/>
          <w:highlight w:val="none"/>
        </w:rPr>
        <w:t>.</w:t>
      </w:r>
      <w:r>
        <w:rPr>
          <w:rFonts w:hint="eastAsia" w:ascii="宋体" w:hAnsi="宋体" w:eastAsia="宋体" w:cs="宋体"/>
          <w:sz w:val="32"/>
          <w:szCs w:val="32"/>
          <w:highlight w:val="none"/>
          <w:lang w:val="en-US" w:eastAsia="zh-CN"/>
        </w:rPr>
        <w:t>8</w:t>
      </w:r>
      <w:r>
        <w:rPr>
          <w:rFonts w:hint="eastAsia" w:ascii="仿宋_GB2312" w:hAnsi="仿宋_GB2312" w:eastAsia="仿宋_GB2312" w:cs="仿宋_GB2312"/>
          <w:sz w:val="32"/>
          <w:szCs w:val="32"/>
          <w:highlight w:val="none"/>
        </w:rPr>
        <w:t>。鼓励混合用地开发，提高土地复合利用效</w:t>
      </w:r>
      <w:r>
        <w:rPr>
          <w:rFonts w:hint="eastAsia" w:ascii="仿宋_GB2312" w:hAnsi="仿宋_GB2312" w:eastAsia="仿宋_GB2312" w:cs="仿宋_GB2312"/>
          <w:sz w:val="32"/>
          <w:szCs w:val="32"/>
          <w:highlight w:val="none"/>
          <w:lang w:val="en-US" w:eastAsia="zh-CN"/>
        </w:rPr>
        <w:t>率。鼓励土地使用者在符合规划的前提下，通过厂房加层、厂区改造、内部用地整理等途径提高土地利用率。</w:t>
      </w:r>
    </w:p>
    <w:p w14:paraId="6B017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突出生产功能。工业项目用地内的行政办公及生活服务设施用地面积不得超过总用地面积的</w:t>
      </w:r>
      <w:r>
        <w:rPr>
          <w:rFonts w:hint="eastAsia" w:ascii="宋体" w:hAnsi="宋体" w:eastAsia="宋体" w:cs="宋体"/>
          <w:sz w:val="32"/>
          <w:szCs w:val="32"/>
          <w:highlight w:val="none"/>
        </w:rPr>
        <w:t>7</w:t>
      </w:r>
      <w:r>
        <w:rPr>
          <w:rFonts w:hint="eastAsia" w:ascii="仿宋_GB2312" w:hAnsi="仿宋_GB2312" w:eastAsia="仿宋_GB2312" w:cs="仿宋_GB2312"/>
          <w:sz w:val="32"/>
          <w:szCs w:val="32"/>
          <w:highlight w:val="none"/>
        </w:rPr>
        <w:t>%，且建筑面积不得超过工业项目总建筑面积的</w:t>
      </w:r>
      <w:r>
        <w:rPr>
          <w:rFonts w:hint="eastAsia" w:ascii="宋体" w:hAnsi="宋体" w:eastAsia="宋体" w:cs="宋体"/>
          <w:sz w:val="32"/>
          <w:szCs w:val="32"/>
          <w:highlight w:val="none"/>
        </w:rPr>
        <w:t>15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在行政办公及生活服务设施之外，确需增加工业生产必需的研发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中试设施，其</w:t>
      </w:r>
      <w:r>
        <w:rPr>
          <w:rFonts w:hint="eastAsia" w:ascii="仿宋_GB2312" w:hAnsi="仿宋_GB2312" w:eastAsia="仿宋_GB2312" w:cs="仿宋_GB2312"/>
          <w:sz w:val="32"/>
          <w:szCs w:val="32"/>
          <w:highlight w:val="none"/>
          <w:lang w:val="en-US" w:eastAsia="zh-CN"/>
        </w:rPr>
        <w:t>建设内容</w:t>
      </w:r>
      <w:r>
        <w:rPr>
          <w:rFonts w:hint="eastAsia" w:ascii="仿宋_GB2312" w:hAnsi="仿宋_GB2312" w:eastAsia="仿宋_GB2312" w:cs="仿宋_GB2312"/>
          <w:sz w:val="32"/>
          <w:szCs w:val="32"/>
          <w:highlight w:val="none"/>
        </w:rPr>
        <w:t>在项目入区决策阶段研究确定，但建筑面积不得超过工业项目总建筑面积的</w:t>
      </w:r>
      <w:r>
        <w:rPr>
          <w:rFonts w:hint="eastAsia" w:ascii="宋体" w:hAnsi="宋体" w:eastAsia="宋体" w:cs="宋体"/>
          <w:sz w:val="32"/>
          <w:szCs w:val="32"/>
          <w:highlight w:val="none"/>
        </w:rPr>
        <w:t>15</w:t>
      </w:r>
      <w:r>
        <w:rPr>
          <w:rFonts w:hint="eastAsia" w:ascii="仿宋_GB2312" w:hAnsi="仿宋_GB2312" w:eastAsia="仿宋_GB2312" w:cs="仿宋_GB2312"/>
          <w:sz w:val="32"/>
          <w:szCs w:val="32"/>
          <w:highlight w:val="none"/>
        </w:rPr>
        <w:t>%（单层厂房层高超过</w:t>
      </w:r>
      <w:r>
        <w:rPr>
          <w:rFonts w:hint="eastAsia" w:ascii="宋体" w:hAnsi="宋体" w:eastAsia="宋体" w:cs="宋体"/>
          <w:sz w:val="32"/>
          <w:szCs w:val="32"/>
          <w:highlight w:val="none"/>
        </w:rPr>
        <w:t>8</w:t>
      </w:r>
      <w:r>
        <w:rPr>
          <w:rFonts w:hint="default" w:ascii="Times New Roman" w:hAnsi="Times New Roman" w:eastAsia="仿宋_GB2312" w:cs="Times New Roman"/>
          <w:sz w:val="32"/>
          <w:szCs w:val="32"/>
          <w:highlight w:val="none"/>
        </w:rPr>
        <w:t>m</w:t>
      </w:r>
      <w:r>
        <w:rPr>
          <w:rFonts w:hint="eastAsia" w:ascii="仿宋_GB2312" w:hAnsi="仿宋_GB2312" w:eastAsia="仿宋_GB2312" w:cs="仿宋_GB2312"/>
          <w:sz w:val="32"/>
          <w:szCs w:val="32"/>
          <w:highlight w:val="none"/>
        </w:rPr>
        <w:t>时，仍按单层面积计算），并应符合相关工业建筑设计规范要求。</w:t>
      </w:r>
      <w:r>
        <w:rPr>
          <w:rFonts w:hint="eastAsia" w:ascii="仿宋_GB2312" w:hAnsi="仿宋_GB2312" w:eastAsia="仿宋_GB2312" w:cs="仿宋_GB2312"/>
          <w:sz w:val="32"/>
          <w:szCs w:val="32"/>
          <w:highlight w:val="none"/>
          <w:lang w:val="en-US" w:eastAsia="zh-CN"/>
        </w:rPr>
        <w:t>严禁</w:t>
      </w:r>
      <w:r>
        <w:rPr>
          <w:rFonts w:hint="eastAsia" w:ascii="仿宋_GB2312" w:hAnsi="仿宋_GB2312" w:eastAsia="仿宋_GB2312" w:cs="仿宋_GB2312"/>
          <w:sz w:val="32"/>
          <w:szCs w:val="32"/>
          <w:highlight w:val="none"/>
        </w:rPr>
        <w:t>在工业项目用地</w:t>
      </w:r>
      <w:r>
        <w:rPr>
          <w:rFonts w:hint="eastAsia" w:ascii="仿宋_GB2312" w:hAnsi="仿宋_GB2312" w:eastAsia="仿宋_GB2312" w:cs="仿宋_GB2312"/>
          <w:sz w:val="32"/>
          <w:szCs w:val="32"/>
          <w:highlight w:val="none"/>
          <w:lang w:val="en-US" w:eastAsia="zh-CN"/>
        </w:rPr>
        <w:t>范围内</w:t>
      </w:r>
      <w:r>
        <w:rPr>
          <w:rFonts w:hint="eastAsia" w:ascii="仿宋_GB2312" w:hAnsi="仿宋_GB2312" w:eastAsia="仿宋_GB2312" w:cs="仿宋_GB2312"/>
          <w:sz w:val="32"/>
          <w:szCs w:val="32"/>
          <w:highlight w:val="none"/>
        </w:rPr>
        <w:t>建设</w:t>
      </w:r>
      <w:r>
        <w:rPr>
          <w:rFonts w:hint="eastAsia" w:ascii="仿宋_GB2312" w:hAnsi="仿宋_GB2312" w:eastAsia="仿宋_GB2312" w:cs="仿宋_GB2312"/>
          <w:sz w:val="32"/>
          <w:szCs w:val="32"/>
          <w:highlight w:val="none"/>
          <w:lang w:val="en-US" w:eastAsia="zh-CN"/>
        </w:rPr>
        <w:t>成套</w:t>
      </w:r>
      <w:r>
        <w:rPr>
          <w:rFonts w:hint="eastAsia" w:ascii="仿宋_GB2312" w:hAnsi="仿宋_GB2312" w:eastAsia="仿宋_GB2312" w:cs="仿宋_GB2312"/>
          <w:sz w:val="32"/>
          <w:szCs w:val="32"/>
          <w:highlight w:val="none"/>
        </w:rPr>
        <w:t>住宅、专家楼、宾馆、招待所和培训中心等非生产性配套设施</w:t>
      </w:r>
      <w:r>
        <w:rPr>
          <w:rFonts w:hint="eastAsia" w:ascii="仿宋_GB2312" w:hAnsi="仿宋_GB2312" w:eastAsia="仿宋_GB2312" w:cs="仿宋_GB2312"/>
          <w:sz w:val="32"/>
          <w:szCs w:val="32"/>
          <w:highlight w:val="none"/>
          <w:lang w:eastAsia="zh-CN"/>
        </w:rPr>
        <w:t>。</w:t>
      </w:r>
    </w:p>
    <w:p w14:paraId="7FE93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二、普及绿色建筑</w:t>
      </w:r>
    </w:p>
    <w:p w14:paraId="74C15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highlight w:val="none"/>
          <w:lang w:eastAsia="zh-CN"/>
        </w:rPr>
      </w:pPr>
      <w:r>
        <w:rPr>
          <w:rFonts w:hint="eastAsia" w:ascii="仿宋_GB2312" w:hAnsi="仿宋_GB2312" w:eastAsia="仿宋_GB2312" w:cs="仿宋_GB2312"/>
          <w:color w:val="auto"/>
          <w:sz w:val="32"/>
          <w:szCs w:val="32"/>
          <w:highlight w:val="none"/>
        </w:rPr>
        <w:t>加大</w:t>
      </w:r>
      <w:r>
        <w:rPr>
          <w:rFonts w:hint="default" w:ascii="Times New Roman" w:hAnsi="Times New Roman" w:eastAsia="仿宋_GB2312" w:cs="Times New Roman"/>
          <w:color w:val="auto"/>
          <w:sz w:val="32"/>
          <w:szCs w:val="32"/>
          <w:highlight w:val="none"/>
        </w:rPr>
        <w:t>BIM</w:t>
      </w:r>
      <w:r>
        <w:rPr>
          <w:rFonts w:hint="eastAsia" w:ascii="仿宋_GB2312" w:hAnsi="仿宋_GB2312" w:eastAsia="仿宋_GB2312" w:cs="仿宋_GB2312"/>
          <w:color w:val="auto"/>
          <w:sz w:val="32"/>
          <w:szCs w:val="32"/>
          <w:highlight w:val="none"/>
        </w:rPr>
        <w:t>、装配式建造、可再生能源等绿色创新技术集成应用,建设高品质绿色建筑创新项目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工业厂房、辅助生产类建筑应达到《绿色工业建筑评价标准》（</w:t>
      </w:r>
      <w:r>
        <w:rPr>
          <w:rFonts w:hint="default" w:ascii="Times New Roman" w:hAnsi="Times New Roman" w:eastAsia="仿宋_GB2312" w:cs="Times New Roman"/>
          <w:sz w:val="32"/>
          <w:szCs w:val="32"/>
          <w:highlight w:val="none"/>
        </w:rPr>
        <w:t>GB</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T</w:t>
      </w:r>
      <w:r>
        <w:rPr>
          <w:rFonts w:hint="eastAsia" w:ascii="宋体" w:hAnsi="宋体" w:eastAsia="宋体" w:cs="宋体"/>
          <w:sz w:val="32"/>
          <w:szCs w:val="32"/>
          <w:highlight w:val="none"/>
        </w:rPr>
        <w:t>50878</w:t>
      </w:r>
      <w:r>
        <w:rPr>
          <w:rFonts w:hint="eastAsia" w:ascii="仿宋_GB2312" w:hAnsi="仿宋_GB2312" w:eastAsia="仿宋_GB2312" w:cs="仿宋_GB2312"/>
          <w:sz w:val="32"/>
          <w:szCs w:val="32"/>
          <w:highlight w:val="none"/>
        </w:rPr>
        <w:t>-</w:t>
      </w:r>
      <w:r>
        <w:rPr>
          <w:rFonts w:hint="eastAsia" w:ascii="宋体" w:hAnsi="宋体" w:eastAsia="宋体" w:cs="宋体"/>
          <w:sz w:val="32"/>
          <w:szCs w:val="32"/>
          <w:highlight w:val="none"/>
        </w:rPr>
        <w:t>2013</w:t>
      </w:r>
      <w:r>
        <w:rPr>
          <w:rFonts w:hint="eastAsia" w:ascii="仿宋_GB2312" w:hAnsi="仿宋_GB2312" w:eastAsia="仿宋_GB2312" w:cs="仿宋_GB2312"/>
          <w:sz w:val="32"/>
          <w:szCs w:val="32"/>
          <w:highlight w:val="none"/>
        </w:rPr>
        <w:t>）一星级及以上标准；工业、仓储项目内的配套建筑应达到《绿色建筑评价标准》（</w:t>
      </w:r>
      <w:r>
        <w:rPr>
          <w:rFonts w:hint="default" w:ascii="Times New Roman" w:hAnsi="Times New Roman" w:eastAsia="仿宋_GB2312" w:cs="Times New Roman"/>
          <w:sz w:val="32"/>
          <w:szCs w:val="32"/>
          <w:highlight w:val="none"/>
        </w:rPr>
        <w:t>GB</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T</w:t>
      </w:r>
      <w:r>
        <w:rPr>
          <w:rFonts w:hint="eastAsia" w:ascii="宋体" w:hAnsi="宋体" w:eastAsia="宋体" w:cs="宋体"/>
          <w:sz w:val="32"/>
          <w:szCs w:val="32"/>
          <w:highlight w:val="none"/>
        </w:rPr>
        <w:t>50378</w:t>
      </w:r>
      <w:r>
        <w:rPr>
          <w:rFonts w:hint="eastAsia" w:ascii="仿宋_GB2312" w:hAnsi="仿宋_GB2312" w:eastAsia="仿宋_GB2312" w:cs="仿宋_GB2312"/>
          <w:sz w:val="32"/>
          <w:szCs w:val="32"/>
          <w:highlight w:val="none"/>
        </w:rPr>
        <w:t>-</w:t>
      </w:r>
      <w:r>
        <w:rPr>
          <w:rFonts w:hint="eastAsia" w:ascii="宋体" w:hAnsi="宋体" w:eastAsia="宋体" w:cs="宋体"/>
          <w:sz w:val="32"/>
          <w:szCs w:val="32"/>
          <w:highlight w:val="none"/>
        </w:rPr>
        <w:t>2019</w:t>
      </w:r>
      <w:r>
        <w:rPr>
          <w:rFonts w:hint="eastAsia" w:ascii="仿宋_GB2312" w:hAnsi="仿宋_GB2312" w:eastAsia="仿宋_GB2312" w:cs="仿宋_GB2312"/>
          <w:sz w:val="32"/>
          <w:szCs w:val="32"/>
          <w:highlight w:val="none"/>
          <w:lang w:eastAsia="zh-CN"/>
        </w:rPr>
        <w:t>，</w:t>
      </w:r>
      <w:r>
        <w:rPr>
          <w:rFonts w:hint="eastAsia" w:ascii="宋体" w:hAnsi="宋体" w:eastAsia="宋体" w:cs="宋体"/>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局部修订版</w:t>
      </w:r>
      <w:r>
        <w:rPr>
          <w:rFonts w:hint="eastAsia" w:ascii="仿宋_GB2312" w:hAnsi="仿宋_GB2312" w:eastAsia="仿宋_GB2312" w:cs="仿宋_GB2312"/>
          <w:sz w:val="32"/>
          <w:szCs w:val="32"/>
          <w:highlight w:val="none"/>
        </w:rPr>
        <w:t>）一星级及以上标准。新建民用建筑严格执行《绿色建筑评价标准》（</w:t>
      </w:r>
      <w:r>
        <w:rPr>
          <w:rFonts w:hint="default" w:ascii="Times New Roman" w:hAnsi="Times New Roman" w:eastAsia="仿宋_GB2312" w:cs="Times New Roman"/>
          <w:sz w:val="32"/>
          <w:szCs w:val="32"/>
          <w:highlight w:val="none"/>
        </w:rPr>
        <w:t>GB</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T</w:t>
      </w:r>
      <w:r>
        <w:rPr>
          <w:rFonts w:hint="eastAsia" w:ascii="宋体" w:hAnsi="宋体" w:eastAsia="宋体" w:cs="宋体"/>
          <w:sz w:val="32"/>
          <w:szCs w:val="32"/>
          <w:highlight w:val="none"/>
        </w:rPr>
        <w:t>50378</w:t>
      </w:r>
      <w:r>
        <w:rPr>
          <w:rFonts w:hint="eastAsia" w:ascii="仿宋_GB2312" w:hAnsi="仿宋_GB2312" w:eastAsia="仿宋_GB2312" w:cs="仿宋_GB2312"/>
          <w:sz w:val="32"/>
          <w:szCs w:val="32"/>
          <w:highlight w:val="none"/>
        </w:rPr>
        <w:t>-</w:t>
      </w:r>
      <w:r>
        <w:rPr>
          <w:rFonts w:hint="eastAsia" w:ascii="宋体" w:hAnsi="宋体" w:eastAsia="宋体" w:cs="宋体"/>
          <w:sz w:val="32"/>
          <w:szCs w:val="32"/>
          <w:highlight w:val="none"/>
        </w:rPr>
        <w:t>2019</w:t>
      </w:r>
      <w:r>
        <w:rPr>
          <w:rFonts w:hint="eastAsia" w:ascii="仿宋_GB2312" w:hAnsi="仿宋_GB2312" w:eastAsia="仿宋_GB2312" w:cs="仿宋_GB2312"/>
          <w:sz w:val="32"/>
          <w:szCs w:val="32"/>
          <w:highlight w:val="none"/>
          <w:lang w:eastAsia="zh-CN"/>
        </w:rPr>
        <w:t>，</w:t>
      </w:r>
      <w:r>
        <w:rPr>
          <w:rFonts w:hint="eastAsia" w:ascii="宋体" w:hAnsi="宋体" w:eastAsia="宋体" w:cs="宋体"/>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局部修订版</w:t>
      </w:r>
      <w:r>
        <w:rPr>
          <w:rFonts w:hint="eastAsia" w:ascii="仿宋_GB2312" w:hAnsi="仿宋_GB2312" w:eastAsia="仿宋_GB2312" w:cs="仿宋_GB2312"/>
          <w:sz w:val="32"/>
          <w:szCs w:val="32"/>
          <w:highlight w:val="none"/>
        </w:rPr>
        <w:t>）并全部达到一星级及以上标准，其中：</w:t>
      </w:r>
      <w:r>
        <w:rPr>
          <w:rFonts w:hint="eastAsia" w:ascii="宋体" w:hAnsi="宋体" w:eastAsia="宋体" w:cs="宋体"/>
          <w:sz w:val="32"/>
          <w:szCs w:val="32"/>
          <w:highlight w:val="none"/>
        </w:rPr>
        <w:t>10</w:t>
      </w:r>
      <w:r>
        <w:rPr>
          <w:rFonts w:hint="eastAsia" w:ascii="仿宋_GB2312" w:hAnsi="仿宋_GB2312" w:eastAsia="仿宋_GB2312" w:cs="仿宋_GB2312"/>
          <w:sz w:val="32"/>
          <w:szCs w:val="32"/>
          <w:highlight w:val="none"/>
        </w:rPr>
        <w:t>万平方米以上居住小区、政府投资的保障性住房二星级标准建筑</w:t>
      </w:r>
      <w:r>
        <w:rPr>
          <w:rFonts w:hint="eastAsia" w:ascii="仿宋_GB2312" w:hAnsi="仿宋_GB2312" w:eastAsia="仿宋_GB2312" w:cs="仿宋_GB2312"/>
          <w:color w:val="auto"/>
          <w:sz w:val="32"/>
          <w:szCs w:val="32"/>
          <w:highlight w:val="none"/>
          <w:lang w:val="en-US" w:eastAsia="zh-CN"/>
        </w:rPr>
        <w:t>面积</w:t>
      </w:r>
      <w:r>
        <w:rPr>
          <w:rFonts w:hint="eastAsia" w:ascii="仿宋_GB2312" w:hAnsi="仿宋_GB2312" w:eastAsia="仿宋_GB2312" w:cs="仿宋_GB2312"/>
          <w:sz w:val="32"/>
          <w:szCs w:val="32"/>
          <w:highlight w:val="none"/>
        </w:rPr>
        <w:t>比例应达到</w:t>
      </w:r>
      <w:r>
        <w:rPr>
          <w:rFonts w:hint="eastAsia" w:ascii="宋体" w:hAnsi="宋体" w:eastAsia="宋体" w:cs="宋体"/>
          <w:sz w:val="32"/>
          <w:szCs w:val="32"/>
          <w:highlight w:val="none"/>
        </w:rPr>
        <w:t>30</w:t>
      </w:r>
      <w:r>
        <w:rPr>
          <w:rFonts w:hint="eastAsia" w:ascii="仿宋_GB2312" w:hAnsi="仿宋_GB2312" w:eastAsia="仿宋_GB2312" w:cs="仿宋_GB2312"/>
          <w:sz w:val="32"/>
          <w:szCs w:val="32"/>
          <w:highlight w:val="none"/>
        </w:rPr>
        <w:t>%以上；公共建筑</w:t>
      </w:r>
      <w:r>
        <w:rPr>
          <w:rFonts w:hint="eastAsia" w:ascii="仿宋_GB2312" w:hAnsi="仿宋_GB2312" w:eastAsia="仿宋_GB2312" w:cs="仿宋_GB2312"/>
          <w:sz w:val="32"/>
          <w:szCs w:val="32"/>
          <w:highlight w:val="none"/>
          <w:lang w:val="en-US" w:eastAsia="zh-CN"/>
        </w:rPr>
        <w:t>及其他有条件的项目</w:t>
      </w:r>
      <w:r>
        <w:rPr>
          <w:rFonts w:hint="eastAsia" w:ascii="仿宋_GB2312" w:hAnsi="仿宋_GB2312" w:eastAsia="仿宋_GB2312" w:cs="仿宋_GB2312"/>
          <w:sz w:val="32"/>
          <w:szCs w:val="32"/>
          <w:highlight w:val="none"/>
        </w:rPr>
        <w:t>应达到二星级及以上标准。鼓励建设三星级绿色建筑和超低能耗、近零能耗、零能耗建筑</w:t>
      </w:r>
      <w:r>
        <w:rPr>
          <w:rFonts w:hint="eastAsia" w:ascii="仿宋_GB2312" w:hAnsi="仿宋_GB2312" w:eastAsia="仿宋_GB2312" w:cs="仿宋_GB2312"/>
          <w:sz w:val="32"/>
          <w:szCs w:val="32"/>
          <w:highlight w:val="none"/>
          <w:lang w:eastAsia="zh-CN"/>
        </w:rPr>
        <w:t>。</w:t>
      </w:r>
    </w:p>
    <w:p w14:paraId="7BE60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三、推进屋顶</w:t>
      </w:r>
      <w:r>
        <w:rPr>
          <w:rFonts w:hint="eastAsia" w:ascii="黑体" w:hAnsi="黑体" w:eastAsia="黑体" w:cs="黑体"/>
          <w:sz w:val="32"/>
          <w:szCs w:val="32"/>
          <w:highlight w:val="none"/>
          <w:lang w:val="en-US" w:eastAsia="zh-CN"/>
        </w:rPr>
        <w:t>利用</w:t>
      </w:r>
    </w:p>
    <w:p w14:paraId="3759C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积极发展光伏建筑一体化（</w:t>
      </w:r>
      <w:r>
        <w:rPr>
          <w:rFonts w:hint="default" w:ascii="Times New Roman" w:hAnsi="Times New Roman" w:eastAsia="仿宋_GB2312" w:cs="Times New Roman"/>
          <w:sz w:val="32"/>
          <w:szCs w:val="32"/>
          <w:highlight w:val="none"/>
        </w:rPr>
        <w:t>BIPV</w:t>
      </w:r>
      <w:r>
        <w:rPr>
          <w:rFonts w:hint="eastAsia" w:ascii="仿宋_GB2312" w:hAnsi="仿宋_GB2312" w:eastAsia="仿宋_GB2312" w:cs="仿宋_GB2312"/>
          <w:sz w:val="32"/>
          <w:szCs w:val="32"/>
          <w:highlight w:val="none"/>
        </w:rPr>
        <w:t>）。新建政府投资建筑、</w:t>
      </w:r>
      <w:r>
        <w:rPr>
          <w:rFonts w:hint="eastAsia" w:ascii="宋体" w:hAnsi="宋体" w:eastAsia="宋体" w:cs="宋体"/>
          <w:color w:val="auto"/>
          <w:sz w:val="32"/>
          <w:szCs w:val="32"/>
          <w:highlight w:val="none"/>
        </w:rPr>
        <w:t>2</w:t>
      </w:r>
      <w:r>
        <w:rPr>
          <w:rFonts w:hint="eastAsia" w:ascii="仿宋_GB2312" w:hAnsi="仿宋_GB2312" w:eastAsia="仿宋_GB2312" w:cs="仿宋_GB2312"/>
          <w:color w:val="auto"/>
          <w:sz w:val="32"/>
          <w:szCs w:val="32"/>
          <w:highlight w:val="none"/>
        </w:rPr>
        <w:t>万平方米以上的公共建筑</w:t>
      </w:r>
      <w:r>
        <w:rPr>
          <w:rFonts w:hint="eastAsia" w:ascii="仿宋_GB2312" w:hAnsi="仿宋_GB2312" w:eastAsia="仿宋_GB2312" w:cs="仿宋_GB2312"/>
          <w:sz w:val="32"/>
          <w:szCs w:val="32"/>
          <w:highlight w:val="none"/>
        </w:rPr>
        <w:t>应优先采用</w:t>
      </w:r>
      <w:r>
        <w:rPr>
          <w:rFonts w:hint="default" w:ascii="Times New Roman" w:hAnsi="Times New Roman" w:eastAsia="仿宋_GB2312" w:cs="Times New Roman"/>
          <w:sz w:val="32"/>
          <w:szCs w:val="32"/>
          <w:highlight w:val="none"/>
        </w:rPr>
        <w:t>BIPV</w:t>
      </w:r>
      <w:r>
        <w:rPr>
          <w:rFonts w:hint="eastAsia" w:ascii="仿宋_GB2312" w:hAnsi="仿宋_GB2312" w:eastAsia="仿宋_GB2312" w:cs="仿宋_GB2312"/>
          <w:sz w:val="32"/>
          <w:szCs w:val="32"/>
          <w:highlight w:val="none"/>
        </w:rPr>
        <w:t>技术，推动光伏系统与建筑同步规划设计、同步施工。</w:t>
      </w:r>
      <w:r>
        <w:rPr>
          <w:rFonts w:hint="eastAsia" w:ascii="仿宋_GB2312" w:hAnsi="仿宋_GB2312" w:eastAsia="仿宋_GB2312" w:cs="仿宋_GB2312"/>
          <w:sz w:val="32"/>
          <w:szCs w:val="32"/>
          <w:highlight w:val="none"/>
          <w:lang w:val="en-US" w:eastAsia="zh-CN"/>
        </w:rPr>
        <w:t>建筑屋顶应全部进行可再生能源开发，</w:t>
      </w:r>
      <w:r>
        <w:rPr>
          <w:rFonts w:hint="eastAsia" w:ascii="仿宋_GB2312" w:hAnsi="仿宋_GB2312" w:eastAsia="仿宋_GB2312" w:cs="仿宋_GB2312"/>
          <w:sz w:val="32"/>
          <w:szCs w:val="32"/>
          <w:highlight w:val="none"/>
        </w:rPr>
        <w:t>其中：厂（库）房屋顶总面积安装光伏发电比例不低于</w:t>
      </w:r>
      <w:r>
        <w:rPr>
          <w:rFonts w:hint="eastAsia" w:ascii="宋体" w:hAnsi="宋体" w:eastAsia="宋体" w:cs="宋体"/>
          <w:sz w:val="32"/>
          <w:szCs w:val="32"/>
          <w:highlight w:val="none"/>
        </w:rPr>
        <w:t>70</w:t>
      </w:r>
      <w:r>
        <w:rPr>
          <w:rFonts w:hint="eastAsia" w:ascii="仿宋_GB2312" w:hAnsi="仿宋_GB2312" w:eastAsia="仿宋_GB2312" w:cs="仿宋_GB2312"/>
          <w:sz w:val="32"/>
          <w:szCs w:val="32"/>
          <w:highlight w:val="none"/>
        </w:rPr>
        <w:t>%；党政机关、科研办公建筑屋顶总面积安装光伏发电比例不低于</w:t>
      </w:r>
      <w:r>
        <w:rPr>
          <w:rFonts w:hint="eastAsia" w:ascii="宋体" w:hAnsi="宋体" w:eastAsia="宋体" w:cs="宋体"/>
          <w:sz w:val="32"/>
          <w:szCs w:val="32"/>
          <w:highlight w:val="none"/>
        </w:rPr>
        <w:t>60</w:t>
      </w:r>
      <w:r>
        <w:rPr>
          <w:rFonts w:hint="eastAsia" w:ascii="仿宋_GB2312" w:hAnsi="仿宋_GB2312" w:eastAsia="仿宋_GB2312" w:cs="仿宋_GB2312"/>
          <w:sz w:val="32"/>
          <w:szCs w:val="32"/>
          <w:highlight w:val="none"/>
        </w:rPr>
        <w:t>%；学校、医院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商业</w:t>
      </w:r>
      <w:r>
        <w:rPr>
          <w:rFonts w:hint="eastAsia" w:ascii="仿宋_GB2312" w:hAnsi="仿宋_GB2312" w:eastAsia="仿宋_GB2312" w:cs="仿宋_GB2312"/>
          <w:sz w:val="32"/>
          <w:szCs w:val="32"/>
          <w:highlight w:val="none"/>
        </w:rPr>
        <w:t>等建筑屋顶</w:t>
      </w:r>
      <w:r>
        <w:rPr>
          <w:rFonts w:hint="eastAsia" w:ascii="仿宋_GB2312" w:hAnsi="仿宋_GB2312" w:eastAsia="仿宋_GB2312" w:cs="仿宋_GB2312"/>
          <w:sz w:val="32"/>
          <w:szCs w:val="32"/>
          <w:highlight w:val="none"/>
          <w:lang w:val="en-US" w:eastAsia="zh-CN"/>
        </w:rPr>
        <w:t>安装太阳能设施比例不低于屋顶投影面积的</w:t>
      </w:r>
      <w:r>
        <w:rPr>
          <w:rFonts w:hint="eastAsia" w:ascii="宋体" w:hAnsi="宋体" w:eastAsia="宋体" w:cs="宋体"/>
          <w:sz w:val="32"/>
          <w:szCs w:val="32"/>
          <w:highlight w:val="none"/>
          <w:lang w:val="en-US" w:eastAsia="zh-CN"/>
        </w:rPr>
        <w:t>50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。处于太原武宿国际机场电磁环境保护区范围内的项目，在实施光伏发电设施</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阶段应征询民航部门意见。</w:t>
      </w:r>
    </w:p>
    <w:p w14:paraId="0BF66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四、建设海绵园区</w:t>
      </w:r>
    </w:p>
    <w:p w14:paraId="715D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秉承海绵城市建设理念，充分发挥建筑</w:t>
      </w:r>
      <w:r>
        <w:rPr>
          <w:rFonts w:hint="eastAsia" w:ascii="仿宋_GB2312" w:hAnsi="仿宋_GB2312" w:eastAsia="仿宋_GB2312" w:cs="仿宋_GB2312"/>
          <w:sz w:val="32"/>
          <w:szCs w:val="32"/>
          <w:highlight w:val="none"/>
          <w:lang w:val="en-US" w:eastAsia="zh-CN"/>
        </w:rPr>
        <w:t>与小区</w:t>
      </w:r>
      <w:r>
        <w:rPr>
          <w:rFonts w:hint="eastAsia" w:ascii="仿宋_GB2312" w:hAnsi="仿宋_GB2312" w:eastAsia="仿宋_GB2312" w:cs="仿宋_GB2312"/>
          <w:sz w:val="32"/>
          <w:szCs w:val="32"/>
          <w:highlight w:val="none"/>
        </w:rPr>
        <w:t>、道路</w:t>
      </w:r>
      <w:r>
        <w:rPr>
          <w:rFonts w:hint="eastAsia" w:ascii="仿宋_GB2312" w:hAnsi="仿宋_GB2312" w:eastAsia="仿宋_GB2312" w:cs="仿宋_GB2312"/>
          <w:sz w:val="32"/>
          <w:szCs w:val="32"/>
          <w:highlight w:val="none"/>
          <w:lang w:val="en-US" w:eastAsia="zh-CN"/>
        </w:rPr>
        <w:t>与广场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公园绿地和河湖</w:t>
      </w:r>
      <w:r>
        <w:rPr>
          <w:rFonts w:hint="eastAsia" w:ascii="仿宋_GB2312" w:hAnsi="仿宋_GB2312" w:eastAsia="仿宋_GB2312" w:cs="仿宋_GB2312"/>
          <w:sz w:val="32"/>
          <w:szCs w:val="32"/>
          <w:highlight w:val="none"/>
        </w:rPr>
        <w:t>水系等生态系统对雨水的吸纳、蓄渗和缓释作用，有效控制雨水径流，</w:t>
      </w:r>
      <w:r>
        <w:rPr>
          <w:rFonts w:hint="eastAsia" w:ascii="仿宋_GB2312" w:hAnsi="仿宋_GB2312" w:eastAsia="仿宋_GB2312" w:cs="仿宋_GB2312"/>
          <w:sz w:val="32"/>
          <w:szCs w:val="32"/>
          <w:highlight w:val="none"/>
          <w:lang w:val="en-US" w:eastAsia="zh-CN"/>
        </w:rPr>
        <w:t>最大限度地减少城市开发建设行为对原有自然水文特征和生态环境造成的破坏</w:t>
      </w:r>
      <w:r>
        <w:rPr>
          <w:rFonts w:hint="eastAsia" w:ascii="仿宋_GB2312" w:hAnsi="仿宋_GB2312" w:eastAsia="仿宋_GB2312" w:cs="仿宋_GB2312"/>
          <w:sz w:val="32"/>
          <w:szCs w:val="32"/>
          <w:highlight w:val="none"/>
        </w:rPr>
        <w:t>。项目设计建设时，</w:t>
      </w:r>
      <w:r>
        <w:rPr>
          <w:rFonts w:hint="eastAsia" w:ascii="仿宋_GB2312" w:hAnsi="仿宋_GB2312" w:eastAsia="仿宋_GB2312" w:cs="仿宋_GB2312"/>
          <w:sz w:val="32"/>
          <w:szCs w:val="32"/>
          <w:highlight w:val="none"/>
          <w:lang w:val="en-US" w:eastAsia="zh-CN"/>
        </w:rPr>
        <w:t>应结合场地实际,依据专项规划，严格执行详细规划中年径流总量控制率、设计降雨量等控制性指标，落实径流污染控制、雨水资源化利用率等引导性指标，合理设计雨水径流控制路径，因地制宜选择技术措施，确定各项海绵城市设施规模。符合海绵城市豁免建设的项目参照《太原市海绵城市建设项目管控指标豁免清单（试行）》执行。</w:t>
      </w:r>
    </w:p>
    <w:p w14:paraId="148A0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五、优化绿地配置</w:t>
      </w:r>
    </w:p>
    <w:p w14:paraId="51815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合理规划项目附属绿地，工业用地绿地率不大于</w:t>
      </w:r>
      <w:r>
        <w:rPr>
          <w:rFonts w:hint="eastAsia" w:ascii="宋体" w:hAnsi="宋体" w:eastAsia="宋体" w:cs="宋体"/>
          <w:sz w:val="32"/>
          <w:szCs w:val="32"/>
          <w:highlight w:val="none"/>
        </w:rPr>
        <w:t>20</w:t>
      </w:r>
      <w:r>
        <w:rPr>
          <w:rFonts w:hint="eastAsia" w:ascii="仿宋_GB2312" w:hAnsi="仿宋_GB2312" w:eastAsia="仿宋_GB2312" w:cs="仿宋_GB2312"/>
          <w:sz w:val="32"/>
          <w:szCs w:val="32"/>
          <w:highlight w:val="none"/>
        </w:rPr>
        <w:t>%；居住用地绿地率不低于</w:t>
      </w:r>
      <w:r>
        <w:rPr>
          <w:rFonts w:hint="eastAsia" w:ascii="宋体" w:hAnsi="宋体" w:eastAsia="宋体" w:cs="宋体"/>
          <w:sz w:val="32"/>
          <w:szCs w:val="32"/>
          <w:highlight w:val="none"/>
        </w:rPr>
        <w:t>35</w:t>
      </w:r>
      <w:r>
        <w:rPr>
          <w:rFonts w:hint="eastAsia" w:ascii="仿宋_GB2312" w:hAnsi="仿宋_GB2312" w:eastAsia="仿宋_GB2312" w:cs="仿宋_GB2312"/>
          <w:sz w:val="32"/>
          <w:szCs w:val="32"/>
          <w:highlight w:val="none"/>
        </w:rPr>
        <w:t>%，并应设置集中绿地；商业用地绿地率</w:t>
      </w:r>
      <w:r>
        <w:rPr>
          <w:rFonts w:hint="eastAsia" w:ascii="仿宋_GB2312" w:hAnsi="仿宋_GB2312" w:eastAsia="仿宋_GB2312" w:cs="仿宋_GB2312"/>
          <w:color w:val="auto"/>
          <w:sz w:val="32"/>
          <w:szCs w:val="32"/>
          <w:highlight w:val="none"/>
        </w:rPr>
        <w:t>原则上不低于</w:t>
      </w:r>
      <w:r>
        <w:rPr>
          <w:rFonts w:hint="eastAsia" w:ascii="宋体" w:hAnsi="宋体" w:eastAsia="宋体" w:cs="宋体"/>
          <w:color w:val="auto"/>
          <w:sz w:val="32"/>
          <w:szCs w:val="32"/>
          <w:highlight w:val="none"/>
        </w:rPr>
        <w:t>2</w:t>
      </w:r>
      <w:r>
        <w:rPr>
          <w:rFonts w:hint="eastAsia" w:ascii="宋体" w:hAnsi="宋体" w:eastAsia="宋体" w:cs="宋体"/>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绿地的植林地比例不应小于</w:t>
      </w:r>
      <w:r>
        <w:rPr>
          <w:rFonts w:hint="eastAsia" w:ascii="宋体" w:hAnsi="宋体" w:eastAsia="宋体" w:cs="宋体"/>
          <w:sz w:val="32"/>
          <w:szCs w:val="32"/>
          <w:highlight w:val="none"/>
        </w:rPr>
        <w:t>40</w:t>
      </w:r>
      <w:r>
        <w:rPr>
          <w:rFonts w:hint="eastAsia" w:ascii="仿宋_GB2312" w:hAnsi="仿宋_GB2312" w:eastAsia="仿宋_GB2312" w:cs="仿宋_GB2312"/>
          <w:sz w:val="32"/>
          <w:szCs w:val="32"/>
          <w:highlight w:val="none"/>
        </w:rPr>
        <w:t>%，采用乡土植物数量的比例应当不低于绿地植物总数量的</w:t>
      </w:r>
      <w:r>
        <w:rPr>
          <w:rFonts w:hint="eastAsia" w:ascii="宋体" w:hAnsi="宋体" w:eastAsia="宋体" w:cs="宋体"/>
          <w:sz w:val="32"/>
          <w:szCs w:val="32"/>
          <w:highlight w:val="none"/>
        </w:rPr>
        <w:t>70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居住区、商业区、厂区绿地与园区公共绿地宜相衔接，依托河道、生态廊道、道路沿线绿带打造连续的绿道网络，实现园区生态空间互联互通。</w:t>
      </w:r>
    </w:p>
    <w:p w14:paraId="5991C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六、塑造建筑风貌</w:t>
      </w:r>
    </w:p>
    <w:p w14:paraId="0D216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塑造建筑特色。建筑风格以简洁、明快、大气的现代风格为主，应适当融入地域文化元素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建筑色彩应遵循中高明度、中低彩度原则，工业建筑外立面色彩</w:t>
      </w:r>
      <w:r>
        <w:rPr>
          <w:rFonts w:hint="eastAsia" w:ascii="仿宋_GB2312" w:hAnsi="仿宋_GB2312" w:eastAsia="仿宋_GB2312" w:cs="仿宋_GB2312"/>
          <w:sz w:val="32"/>
          <w:szCs w:val="32"/>
          <w:highlight w:val="none"/>
          <w:lang w:val="en-US" w:eastAsia="zh-CN"/>
        </w:rPr>
        <w:t>宜</w:t>
      </w:r>
      <w:r>
        <w:rPr>
          <w:rFonts w:hint="eastAsia" w:ascii="仿宋_GB2312" w:hAnsi="仿宋_GB2312" w:eastAsia="仿宋_GB2312" w:cs="仿宋_GB2312"/>
          <w:sz w:val="32"/>
          <w:szCs w:val="32"/>
          <w:highlight w:val="none"/>
        </w:rPr>
        <w:t>以清爽简洁的冷灰色系为主，住宅建筑外立面色彩</w:t>
      </w:r>
      <w:r>
        <w:rPr>
          <w:rFonts w:hint="eastAsia" w:ascii="仿宋_GB2312" w:hAnsi="仿宋_GB2312" w:eastAsia="仿宋_GB2312" w:cs="仿宋_GB2312"/>
          <w:sz w:val="32"/>
          <w:szCs w:val="32"/>
          <w:highlight w:val="none"/>
          <w:lang w:val="en-US" w:eastAsia="zh-CN"/>
        </w:rPr>
        <w:t>宜</w:t>
      </w:r>
      <w:r>
        <w:rPr>
          <w:rFonts w:hint="eastAsia" w:ascii="仿宋_GB2312" w:hAnsi="仿宋_GB2312" w:eastAsia="仿宋_GB2312" w:cs="仿宋_GB2312"/>
          <w:sz w:val="32"/>
          <w:szCs w:val="32"/>
          <w:highlight w:val="none"/>
        </w:rPr>
        <w:t>以清新淡雅的暖灰色系为主，公共建筑色彩应结合建筑功能在协调中富有变化。单体建筑色彩组合一般不超过</w:t>
      </w:r>
      <w:r>
        <w:rPr>
          <w:rFonts w:hint="eastAsia" w:ascii="宋体" w:hAnsi="宋体" w:eastAsia="宋体" w:cs="宋体"/>
          <w:sz w:val="32"/>
          <w:szCs w:val="32"/>
          <w:highlight w:val="none"/>
        </w:rPr>
        <w:t>3</w:t>
      </w:r>
      <w:r>
        <w:rPr>
          <w:rFonts w:hint="eastAsia" w:ascii="仿宋_GB2312" w:hAnsi="仿宋_GB2312" w:eastAsia="仿宋_GB2312" w:cs="仿宋_GB2312"/>
          <w:sz w:val="32"/>
          <w:szCs w:val="32"/>
          <w:highlight w:val="none"/>
        </w:rPr>
        <w:t>种（不含玻璃幕墙自身色彩）</w:t>
      </w:r>
      <w:r>
        <w:rPr>
          <w:rFonts w:hint="eastAsia" w:ascii="仿宋_GB2312" w:hAnsi="仿宋_GB2312" w:eastAsia="仿宋_GB2312" w:cs="仿宋_GB2312"/>
          <w:sz w:val="32"/>
          <w:szCs w:val="32"/>
          <w:highlight w:val="none"/>
          <w:lang w:eastAsia="zh-CN"/>
        </w:rPr>
        <w:t>。建筑外立面材料应采用陶土板、真石漆、石材、金属板等美观耐久的材料，采用涂料的外墙应进行分隔缝细化设计处理。</w:t>
      </w:r>
    </w:p>
    <w:p w14:paraId="10B0B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控制建筑体量。多层住宅建筑连续面宽不应超过</w:t>
      </w:r>
      <w:r>
        <w:rPr>
          <w:rFonts w:hint="eastAsia" w:ascii="宋体" w:hAnsi="宋体" w:eastAsia="宋体" w:cs="宋体"/>
          <w:sz w:val="32"/>
          <w:szCs w:val="32"/>
          <w:highlight w:val="none"/>
        </w:rPr>
        <w:t>60</w:t>
      </w:r>
      <w:r>
        <w:rPr>
          <w:rFonts w:hint="eastAsia" w:ascii="仿宋_GB2312" w:hAnsi="仿宋_GB2312" w:eastAsia="仿宋_GB2312" w:cs="仿宋_GB2312"/>
          <w:sz w:val="32"/>
          <w:szCs w:val="32"/>
          <w:highlight w:val="none"/>
        </w:rPr>
        <w:t>米；高层住宅建筑连续面宽不应超过</w:t>
      </w:r>
      <w:r>
        <w:rPr>
          <w:rFonts w:hint="eastAsia" w:ascii="宋体" w:hAnsi="宋体" w:eastAsia="宋体" w:cs="宋体"/>
          <w:sz w:val="32"/>
          <w:szCs w:val="32"/>
          <w:highlight w:val="none"/>
        </w:rPr>
        <w:t>70</w:t>
      </w:r>
      <w:r>
        <w:rPr>
          <w:rFonts w:hint="eastAsia" w:ascii="仿宋_GB2312" w:hAnsi="仿宋_GB2312" w:eastAsia="仿宋_GB2312" w:cs="仿宋_GB2312"/>
          <w:sz w:val="32"/>
          <w:szCs w:val="32"/>
          <w:highlight w:val="none"/>
        </w:rPr>
        <w:t>米；工业建筑面宽超过</w:t>
      </w:r>
      <w:r>
        <w:rPr>
          <w:rFonts w:hint="eastAsia" w:ascii="宋体" w:hAnsi="宋体" w:eastAsia="宋体" w:cs="宋体"/>
          <w:sz w:val="32"/>
          <w:szCs w:val="32"/>
          <w:highlight w:val="none"/>
        </w:rPr>
        <w:t>80</w:t>
      </w:r>
      <w:r>
        <w:rPr>
          <w:rFonts w:hint="eastAsia" w:ascii="仿宋_GB2312" w:hAnsi="仿宋_GB2312" w:eastAsia="仿宋_GB2312" w:cs="仿宋_GB2312"/>
          <w:sz w:val="32"/>
          <w:szCs w:val="32"/>
          <w:highlight w:val="none"/>
        </w:rPr>
        <w:t>米时，应对外立面形象进行分段处理</w:t>
      </w:r>
      <w:r>
        <w:rPr>
          <w:rFonts w:hint="eastAsia" w:ascii="仿宋_GB2312" w:hAnsi="仿宋_GB2312" w:eastAsia="仿宋_GB2312" w:cs="仿宋_GB2312"/>
          <w:sz w:val="32"/>
          <w:szCs w:val="32"/>
          <w:highlight w:val="none"/>
          <w:lang w:eastAsia="zh-CN"/>
        </w:rPr>
        <w:t>，侧立面超过</w:t>
      </w:r>
      <w:r>
        <w:rPr>
          <w:rFonts w:hint="eastAsia" w:ascii="宋体" w:hAnsi="宋体" w:eastAsia="宋体" w:cs="宋体"/>
          <w:sz w:val="32"/>
          <w:szCs w:val="32"/>
          <w:highlight w:val="none"/>
          <w:lang w:eastAsia="zh-CN"/>
        </w:rPr>
        <w:t>40</w:t>
      </w:r>
      <w:r>
        <w:rPr>
          <w:rFonts w:hint="eastAsia" w:ascii="仿宋_GB2312" w:hAnsi="仿宋_GB2312" w:eastAsia="仿宋_GB2312" w:cs="仿宋_GB2312"/>
          <w:sz w:val="32"/>
          <w:szCs w:val="32"/>
          <w:highlight w:val="none"/>
          <w:lang w:eastAsia="zh-CN"/>
        </w:rPr>
        <w:t>米时，宜进行分段处理。</w:t>
      </w:r>
      <w:r>
        <w:rPr>
          <w:rFonts w:hint="eastAsia" w:ascii="仿宋_GB2312" w:hAnsi="仿宋_GB2312" w:eastAsia="仿宋_GB2312" w:cs="仿宋_GB2312"/>
          <w:sz w:val="32"/>
          <w:szCs w:val="32"/>
          <w:highlight w:val="none"/>
        </w:rPr>
        <w:t>同一居住小区内相邻</w:t>
      </w:r>
      <w:r>
        <w:rPr>
          <w:rFonts w:hint="eastAsia" w:ascii="仿宋_GB2312" w:hAnsi="仿宋_GB2312" w:eastAsia="仿宋_GB2312" w:cs="仿宋_GB2312"/>
          <w:sz w:val="32"/>
          <w:szCs w:val="32"/>
          <w:highlight w:val="none"/>
          <w:lang w:val="en-US" w:eastAsia="zh-CN"/>
        </w:rPr>
        <w:t>居住</w:t>
      </w:r>
      <w:r>
        <w:rPr>
          <w:rFonts w:hint="eastAsia" w:ascii="仿宋_GB2312" w:hAnsi="仿宋_GB2312" w:eastAsia="仿宋_GB2312" w:cs="仿宋_GB2312"/>
          <w:sz w:val="32"/>
          <w:szCs w:val="32"/>
          <w:highlight w:val="none"/>
        </w:rPr>
        <w:t>建筑高差原则上不大于</w:t>
      </w:r>
      <w:r>
        <w:rPr>
          <w:rFonts w:hint="eastAsia" w:ascii="宋体" w:hAnsi="宋体" w:eastAsia="宋体" w:cs="宋体"/>
          <w:sz w:val="32"/>
          <w:szCs w:val="32"/>
          <w:highlight w:val="none"/>
        </w:rPr>
        <w:t>30</w:t>
      </w:r>
      <w:r>
        <w:rPr>
          <w:rFonts w:hint="eastAsia" w:ascii="仿宋_GB2312" w:hAnsi="仿宋_GB2312" w:eastAsia="仿宋_GB2312" w:cs="仿宋_GB2312"/>
          <w:sz w:val="32"/>
          <w:szCs w:val="32"/>
          <w:highlight w:val="none"/>
        </w:rPr>
        <w:t>米；滨河、园区级公园和重要广场周边及</w:t>
      </w:r>
      <w:r>
        <w:rPr>
          <w:rFonts w:hint="eastAsia" w:ascii="仿宋_GB2312" w:hAnsi="仿宋_GB2312" w:eastAsia="仿宋_GB2312" w:cs="仿宋_GB2312"/>
          <w:sz w:val="32"/>
          <w:szCs w:val="32"/>
          <w:highlight w:val="none"/>
          <w:lang w:eastAsia="zh-CN"/>
        </w:rPr>
        <w:t>临</w:t>
      </w:r>
      <w:r>
        <w:rPr>
          <w:rFonts w:hint="eastAsia" w:ascii="宋体" w:hAnsi="宋体" w:eastAsia="宋体" w:cs="宋体"/>
          <w:sz w:val="32"/>
          <w:szCs w:val="32"/>
          <w:highlight w:val="none"/>
          <w:lang w:eastAsia="zh-CN"/>
        </w:rPr>
        <w:t>40</w:t>
      </w:r>
      <w:r>
        <w:rPr>
          <w:rFonts w:hint="eastAsia" w:ascii="仿宋_GB2312" w:hAnsi="仿宋_GB2312" w:eastAsia="仿宋_GB2312" w:cs="仿宋_GB2312"/>
          <w:sz w:val="32"/>
          <w:szCs w:val="32"/>
          <w:highlight w:val="none"/>
          <w:lang w:eastAsia="zh-CN"/>
        </w:rPr>
        <w:t>米以上城市道路的第一排居住建筑，连续布局</w:t>
      </w:r>
      <w:r>
        <w:rPr>
          <w:rFonts w:hint="eastAsia" w:ascii="宋体" w:hAnsi="宋体" w:eastAsia="宋体" w:cs="宋体"/>
          <w:sz w:val="32"/>
          <w:szCs w:val="32"/>
          <w:highlight w:val="none"/>
          <w:lang w:eastAsia="zh-CN"/>
        </w:rPr>
        <w:t>3</w:t>
      </w:r>
      <w:r>
        <w:rPr>
          <w:rFonts w:hint="eastAsia" w:ascii="仿宋_GB2312" w:hAnsi="仿宋_GB2312" w:eastAsia="仿宋_GB2312" w:cs="仿宋_GB2312"/>
          <w:sz w:val="32"/>
          <w:szCs w:val="32"/>
          <w:highlight w:val="none"/>
          <w:lang w:eastAsia="zh-CN"/>
        </w:rPr>
        <w:t>栋以上的高层建筑，相邻建筑高差值应大于较高建筑高度的</w:t>
      </w:r>
      <w:r>
        <w:rPr>
          <w:rFonts w:hint="eastAsia" w:ascii="宋体" w:hAnsi="宋体" w:eastAsia="宋体" w:cs="宋体"/>
          <w:sz w:val="32"/>
          <w:szCs w:val="32"/>
          <w:highlight w:val="none"/>
          <w:lang w:eastAsia="zh-CN"/>
        </w:rPr>
        <w:t>20</w:t>
      </w:r>
      <w:r>
        <w:rPr>
          <w:rFonts w:hint="eastAsia" w:ascii="仿宋_GB2312" w:hAnsi="仿宋_GB2312" w:eastAsia="仿宋_GB2312" w:cs="仿宋_GB2312"/>
          <w:sz w:val="32"/>
          <w:szCs w:val="32"/>
          <w:highlight w:val="none"/>
          <w:lang w:eastAsia="zh-CN"/>
        </w:rPr>
        <w:t>%。</w:t>
      </w:r>
    </w:p>
    <w:p w14:paraId="68FBC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重视第五立面。建筑屋顶造型、风格、色彩设计应与建筑主体协调统一。彩钢板厂（库）房屋面色彩以中灰、深灰为主，禁止采用红色、蓝色等高彩度屋面。禁止设立建筑顶部标牌，突出屋面的楼、电梯间及水箱间等应结合屋顶形式或女儿墙进行一体化隐蔽设计</w:t>
      </w:r>
      <w:r>
        <w:rPr>
          <w:rFonts w:hint="eastAsia" w:ascii="仿宋_GB2312" w:hAnsi="仿宋_GB2312" w:eastAsia="仿宋_GB2312" w:cs="仿宋_GB2312"/>
          <w:sz w:val="32"/>
          <w:szCs w:val="32"/>
          <w:highlight w:val="none"/>
          <w:lang w:eastAsia="zh-CN"/>
        </w:rPr>
        <w:t>。</w:t>
      </w:r>
    </w:p>
    <w:p w14:paraId="114B9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七、提升街道品质</w:t>
      </w:r>
    </w:p>
    <w:p w14:paraId="2862D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临主要街道的建设项目应形成丰富统一、错落有致的街道界面，打造良好的城市展示面，临生态景观廊道的建设项目应注重空间布局的开敞性，保持内外生态景观的通透性。设置在建筑外墙的空调机位、依附于建筑物的户外广告、标识，应与建筑本体一并设计，不得破坏建筑物的立面形式。</w:t>
      </w:r>
      <w:r>
        <w:rPr>
          <w:rFonts w:hint="eastAsia" w:ascii="仿宋_GB2312" w:hAnsi="仿宋_GB2312" w:eastAsia="仿宋_GB2312" w:cs="仿宋_GB2312"/>
          <w:color w:val="auto"/>
          <w:sz w:val="32"/>
          <w:szCs w:val="32"/>
          <w:highlight w:val="none"/>
        </w:rPr>
        <w:t>同一</w:t>
      </w:r>
      <w:r>
        <w:rPr>
          <w:rFonts w:hint="eastAsia" w:ascii="仿宋_GB2312" w:hAnsi="仿宋_GB2312" w:eastAsia="仿宋_GB2312" w:cs="仿宋_GB2312"/>
          <w:color w:val="auto"/>
          <w:sz w:val="32"/>
          <w:szCs w:val="32"/>
          <w:highlight w:val="none"/>
          <w:lang w:val="en-US" w:eastAsia="zh-CN"/>
        </w:rPr>
        <w:t>建设项目的标识</w:t>
      </w:r>
      <w:r>
        <w:rPr>
          <w:rFonts w:hint="eastAsia" w:ascii="仿宋_GB2312" w:hAnsi="仿宋_GB2312" w:eastAsia="仿宋_GB2312" w:cs="仿宋_GB2312"/>
          <w:sz w:val="32"/>
          <w:szCs w:val="32"/>
          <w:highlight w:val="none"/>
        </w:rPr>
        <w:t>不宜使用超过</w:t>
      </w:r>
      <w:r>
        <w:rPr>
          <w:rFonts w:hint="eastAsia" w:ascii="宋体" w:hAnsi="宋体" w:eastAsia="宋体" w:cs="宋体"/>
          <w:sz w:val="32"/>
          <w:szCs w:val="32"/>
          <w:highlight w:val="none"/>
        </w:rPr>
        <w:t>2</w:t>
      </w:r>
      <w:r>
        <w:rPr>
          <w:rFonts w:hint="eastAsia" w:ascii="仿宋_GB2312" w:hAnsi="仿宋_GB2312" w:eastAsia="仿宋_GB2312" w:cs="仿宋_GB2312"/>
          <w:sz w:val="32"/>
          <w:szCs w:val="32"/>
          <w:highlight w:val="none"/>
        </w:rPr>
        <w:t>种以上颜色。</w:t>
      </w:r>
    </w:p>
    <w:p w14:paraId="46D4B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园区中心区、临主次干道、公园广场周边和滨水区域及其它重要景观区域的建筑应进行景观亮化，且楼体亮化应与建筑一体化设计，</w:t>
      </w:r>
      <w:r>
        <w:rPr>
          <w:rFonts w:hint="eastAsia" w:ascii="仿宋_GB2312" w:hAnsi="仿宋_GB2312" w:eastAsia="仿宋_GB2312" w:cs="仿宋_GB2312"/>
          <w:sz w:val="32"/>
          <w:szCs w:val="32"/>
          <w:highlight w:val="none"/>
          <w:lang w:val="en-US" w:eastAsia="zh-CN"/>
        </w:rPr>
        <w:t>宜采用</w:t>
      </w:r>
      <w:r>
        <w:rPr>
          <w:rFonts w:hint="default" w:ascii="Times New Roman" w:hAnsi="Times New Roman" w:eastAsia="仿宋_GB2312" w:cs="Times New Roman"/>
          <w:sz w:val="32"/>
          <w:szCs w:val="32"/>
          <w:highlight w:val="none"/>
          <w:lang w:val="en-US" w:eastAsia="zh-CN"/>
        </w:rPr>
        <w:t>LED</w:t>
      </w:r>
      <w:r>
        <w:rPr>
          <w:rFonts w:hint="eastAsia" w:ascii="仿宋_GB2312" w:hAnsi="仿宋_GB2312" w:eastAsia="仿宋_GB2312" w:cs="仿宋_GB2312"/>
          <w:sz w:val="32"/>
          <w:szCs w:val="32"/>
          <w:highlight w:val="none"/>
          <w:lang w:val="en-US" w:eastAsia="zh-CN"/>
        </w:rPr>
        <w:t>等节能光源，</w:t>
      </w:r>
      <w:r>
        <w:rPr>
          <w:rFonts w:hint="eastAsia" w:ascii="仿宋_GB2312" w:hAnsi="仿宋_GB2312" w:eastAsia="仿宋_GB2312" w:cs="仿宋_GB2312"/>
          <w:sz w:val="32"/>
          <w:szCs w:val="32"/>
          <w:highlight w:val="none"/>
        </w:rPr>
        <w:t>突出建筑形式与质感，塑造与空间环境相协调的意境</w:t>
      </w:r>
      <w:r>
        <w:rPr>
          <w:rFonts w:hint="eastAsia" w:ascii="仿宋_GB2312" w:hAnsi="仿宋_GB2312" w:eastAsia="仿宋_GB2312" w:cs="仿宋_GB2312"/>
          <w:sz w:val="32"/>
          <w:szCs w:val="32"/>
          <w:highlight w:val="none"/>
          <w:lang w:eastAsia="zh-CN"/>
        </w:rPr>
        <w:t>。</w:t>
      </w:r>
    </w:p>
    <w:p w14:paraId="1135F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建设项目除特殊要求外，</w:t>
      </w:r>
      <w:r>
        <w:rPr>
          <w:rFonts w:hint="eastAsia" w:ascii="仿宋_GB2312" w:hAnsi="仿宋_GB2312" w:eastAsia="仿宋_GB2312" w:cs="仿宋_GB2312"/>
          <w:sz w:val="32"/>
          <w:szCs w:val="32"/>
          <w:highlight w:val="none"/>
          <w:lang w:eastAsia="zh-CN"/>
        </w:rPr>
        <w:t>应采用透空围栏设计，不得采用实体围墙。围</w:t>
      </w:r>
      <w:r>
        <w:rPr>
          <w:rFonts w:hint="eastAsia" w:ascii="仿宋_GB2312" w:hAnsi="仿宋_GB2312" w:eastAsia="仿宋_GB2312" w:cs="仿宋_GB2312"/>
          <w:sz w:val="32"/>
          <w:szCs w:val="32"/>
          <w:highlight w:val="none"/>
          <w:lang w:val="en-US" w:eastAsia="zh-CN"/>
        </w:rPr>
        <w:t>栏</w:t>
      </w:r>
      <w:r>
        <w:rPr>
          <w:rFonts w:hint="eastAsia" w:ascii="仿宋_GB2312" w:hAnsi="仿宋_GB2312" w:eastAsia="仿宋_GB2312" w:cs="仿宋_GB2312"/>
          <w:sz w:val="32"/>
          <w:szCs w:val="32"/>
          <w:highlight w:val="none"/>
          <w:lang w:eastAsia="zh-CN"/>
        </w:rPr>
        <w:t>整体形式应与建筑风貌相统一，与街道风貌相协调。</w:t>
      </w:r>
    </w:p>
    <w:p w14:paraId="20FA8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八、合理组织交通</w:t>
      </w:r>
    </w:p>
    <w:p w14:paraId="4253A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合理组织项目用地内的人行、车行交通流线，并与城市交通合理衔接。道路交叉口展宽段、渐变段及向外延伸</w:t>
      </w:r>
      <w:r>
        <w:rPr>
          <w:rFonts w:hint="eastAsia" w:ascii="宋体" w:hAnsi="宋体" w:eastAsia="宋体" w:cs="宋体"/>
          <w:sz w:val="32"/>
          <w:szCs w:val="32"/>
          <w:highlight w:val="none"/>
        </w:rPr>
        <w:t>10</w:t>
      </w:r>
      <w:r>
        <w:rPr>
          <w:rFonts w:hint="eastAsia" w:ascii="仿宋_GB2312" w:hAnsi="仿宋_GB2312" w:eastAsia="仿宋_GB2312" w:cs="仿宋_GB2312"/>
          <w:sz w:val="32"/>
          <w:szCs w:val="32"/>
          <w:highlight w:val="none"/>
        </w:rPr>
        <w:t>米范围内，原则上不得设置机动车出入口。居住、公建项目和小型工业项目机动车主出入口宽度一般不超过</w:t>
      </w:r>
      <w:r>
        <w:rPr>
          <w:rFonts w:hint="eastAsia" w:ascii="宋体" w:hAnsi="宋体" w:eastAsia="宋体" w:cs="宋体"/>
          <w:sz w:val="32"/>
          <w:szCs w:val="32"/>
          <w:highlight w:val="none"/>
          <w:lang w:val="en-US" w:eastAsia="zh-CN"/>
        </w:rPr>
        <w:t>10</w:t>
      </w:r>
      <w:r>
        <w:rPr>
          <w:rFonts w:hint="eastAsia" w:ascii="仿宋_GB2312" w:hAnsi="仿宋_GB2312" w:eastAsia="仿宋_GB2312" w:cs="仿宋_GB2312"/>
          <w:sz w:val="32"/>
          <w:szCs w:val="32"/>
          <w:highlight w:val="none"/>
        </w:rPr>
        <w:t>米，大中型工业项目机动车主出入口宽度可适当放宽，但原则上不应超过</w:t>
      </w:r>
      <w:r>
        <w:rPr>
          <w:rFonts w:hint="eastAsia" w:ascii="宋体" w:hAnsi="宋体" w:eastAsia="宋体" w:cs="宋体"/>
          <w:sz w:val="32"/>
          <w:szCs w:val="32"/>
          <w:highlight w:val="none"/>
        </w:rPr>
        <w:t>15</w:t>
      </w:r>
      <w:r>
        <w:rPr>
          <w:rFonts w:hint="eastAsia" w:ascii="仿宋_GB2312" w:hAnsi="仿宋_GB2312" w:eastAsia="仿宋_GB2312" w:cs="仿宋_GB2312"/>
          <w:sz w:val="32"/>
          <w:szCs w:val="32"/>
          <w:highlight w:val="none"/>
        </w:rPr>
        <w:t>米。</w:t>
      </w:r>
      <w:r>
        <w:rPr>
          <w:rFonts w:hint="eastAsia" w:ascii="仿宋_GB2312" w:hAnsi="仿宋_GB2312" w:eastAsia="仿宋_GB2312" w:cs="仿宋_GB2312"/>
          <w:sz w:val="32"/>
          <w:szCs w:val="32"/>
          <w:highlight w:val="none"/>
          <w:lang w:val="en-US" w:eastAsia="zh-CN"/>
        </w:rPr>
        <w:t>居住小区、中小学、医院、商业等项目主出入口有条件时宜设置缓冲集散空间。</w:t>
      </w:r>
    </w:p>
    <w:p w14:paraId="21E3F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九、注重停车配建</w:t>
      </w:r>
    </w:p>
    <w:p w14:paraId="30522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落实配建停车位要求。</w:t>
      </w:r>
      <w:r>
        <w:rPr>
          <w:rFonts w:hint="eastAsia" w:ascii="仿宋_GB2312" w:hAnsi="仿宋_GB2312" w:eastAsia="仿宋_GB2312" w:cs="仿宋_GB2312"/>
          <w:sz w:val="32"/>
          <w:szCs w:val="32"/>
          <w:highlight w:val="none"/>
        </w:rPr>
        <w:t>严格按照详细规划要求，合理配建项目停车位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鼓励充分利用地下空间建设地下停车位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机动车地下停车位数占应配建机动车总停车位数的比例，住宅项目原则上不应小于</w:t>
      </w:r>
      <w:r>
        <w:rPr>
          <w:rFonts w:hint="eastAsia" w:ascii="宋体" w:hAnsi="宋体" w:eastAsia="宋体" w:cs="宋体"/>
          <w:sz w:val="32"/>
          <w:szCs w:val="32"/>
          <w:highlight w:val="none"/>
        </w:rPr>
        <w:t>90</w:t>
      </w:r>
      <w:r>
        <w:rPr>
          <w:rFonts w:hint="eastAsia" w:ascii="仿宋_GB2312" w:hAnsi="仿宋_GB2312" w:eastAsia="仿宋_GB2312" w:cs="仿宋_GB2312"/>
          <w:sz w:val="32"/>
          <w:szCs w:val="32"/>
          <w:highlight w:val="none"/>
        </w:rPr>
        <w:t>%，研发、商业、商务等项目原则上不应小于</w:t>
      </w:r>
      <w:r>
        <w:rPr>
          <w:rFonts w:hint="eastAsia" w:ascii="宋体" w:hAnsi="宋体" w:eastAsia="宋体" w:cs="宋体"/>
          <w:sz w:val="32"/>
          <w:szCs w:val="32"/>
          <w:highlight w:val="none"/>
        </w:rPr>
        <w:t>70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工业、仓储项目除地面停车位外，可通过配建地上停车建（构）筑物或地下停车库满足停车位配建需求。标准厂房、四层及以上的“工业上楼”项目地下停车位数占应配建机动车总停车位数的比例原则上不应小于</w:t>
      </w:r>
      <w:r>
        <w:rPr>
          <w:rFonts w:hint="eastAsia" w:ascii="宋体" w:hAnsi="宋体" w:eastAsia="宋体" w:cs="宋体"/>
          <w:sz w:val="32"/>
          <w:szCs w:val="32"/>
          <w:highlight w:val="none"/>
          <w:lang w:val="en-US" w:eastAsia="zh-CN"/>
        </w:rPr>
        <w:t>70</w:t>
      </w:r>
      <w:r>
        <w:rPr>
          <w:rFonts w:hint="eastAsia" w:ascii="仿宋_GB2312" w:hAnsi="仿宋_GB2312" w:eastAsia="仿宋_GB2312" w:cs="仿宋_GB2312"/>
          <w:sz w:val="32"/>
          <w:szCs w:val="32"/>
          <w:highlight w:val="none"/>
          <w:lang w:val="en-US" w:eastAsia="zh-CN"/>
        </w:rPr>
        <w:t>%。货运停车位应单独计算。</w:t>
      </w:r>
    </w:p>
    <w:p w14:paraId="5FCA8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做好充电设施建设。居住小区配建的停车位按不低于</w:t>
      </w:r>
      <w:r>
        <w:rPr>
          <w:rFonts w:hint="eastAsia" w:ascii="宋体" w:hAnsi="宋体" w:eastAsia="宋体" w:cs="宋体"/>
          <w:sz w:val="32"/>
          <w:szCs w:val="32"/>
          <w:highlight w:val="none"/>
        </w:rPr>
        <w:t>15</w:t>
      </w:r>
      <w:r>
        <w:rPr>
          <w:rFonts w:hint="eastAsia" w:ascii="仿宋_GB2312" w:hAnsi="仿宋_GB2312" w:eastAsia="仿宋_GB2312" w:cs="仿宋_GB2312"/>
          <w:sz w:val="32"/>
          <w:szCs w:val="32"/>
          <w:highlight w:val="none"/>
        </w:rPr>
        <w:t>%建设电动汽车充电设施，并按照</w:t>
      </w:r>
      <w:r>
        <w:rPr>
          <w:rFonts w:hint="eastAsia" w:ascii="宋体" w:hAnsi="宋体" w:eastAsia="宋体" w:cs="宋体"/>
          <w:sz w:val="32"/>
          <w:szCs w:val="32"/>
          <w:highlight w:val="none"/>
        </w:rPr>
        <w:t>100</w:t>
      </w:r>
      <w:r>
        <w:rPr>
          <w:rFonts w:hint="eastAsia" w:ascii="仿宋_GB2312" w:hAnsi="仿宋_GB2312" w:eastAsia="仿宋_GB2312" w:cs="仿宋_GB2312"/>
          <w:sz w:val="32"/>
          <w:szCs w:val="32"/>
          <w:highlight w:val="none"/>
        </w:rPr>
        <w:t>%预留安装条件；工业、公建项目配建的停车位按不低于</w:t>
      </w:r>
      <w:r>
        <w:rPr>
          <w:rFonts w:hint="eastAsia" w:ascii="宋体" w:hAnsi="宋体" w:eastAsia="宋体" w:cs="宋体"/>
          <w:sz w:val="32"/>
          <w:szCs w:val="32"/>
          <w:highlight w:val="none"/>
        </w:rPr>
        <w:t>10</w:t>
      </w:r>
      <w:r>
        <w:rPr>
          <w:rFonts w:hint="eastAsia" w:ascii="仿宋_GB2312" w:hAnsi="仿宋_GB2312" w:eastAsia="仿宋_GB2312" w:cs="仿宋_GB2312"/>
          <w:sz w:val="32"/>
          <w:szCs w:val="32"/>
          <w:highlight w:val="none"/>
        </w:rPr>
        <w:t>%建设电动汽车充电设施，并按照</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0</w:t>
      </w:r>
      <w:r>
        <w:rPr>
          <w:rFonts w:hint="eastAsia" w:ascii="仿宋_GB2312" w:hAnsi="仿宋_GB2312" w:eastAsia="仿宋_GB2312" w:cs="仿宋_GB2312"/>
          <w:sz w:val="32"/>
          <w:szCs w:val="32"/>
          <w:highlight w:val="none"/>
        </w:rPr>
        <w:t>%预留安装条件；社会停车场按不低于</w:t>
      </w:r>
      <w:r>
        <w:rPr>
          <w:rFonts w:hint="eastAsia" w:ascii="宋体" w:hAnsi="宋体" w:eastAsia="宋体" w:cs="宋体"/>
          <w:sz w:val="32"/>
          <w:szCs w:val="32"/>
          <w:highlight w:val="none"/>
        </w:rPr>
        <w:t>20</w:t>
      </w:r>
      <w:r>
        <w:rPr>
          <w:rFonts w:hint="eastAsia" w:ascii="仿宋_GB2312" w:hAnsi="仿宋_GB2312" w:eastAsia="仿宋_GB2312" w:cs="仿宋_GB2312"/>
          <w:sz w:val="32"/>
          <w:szCs w:val="32"/>
          <w:highlight w:val="none"/>
        </w:rPr>
        <w:t>%建设电动汽车充电设施，并按照</w:t>
      </w:r>
      <w:r>
        <w:rPr>
          <w:rFonts w:hint="eastAsia" w:ascii="宋体" w:hAnsi="宋体" w:eastAsia="宋体" w:cs="宋体"/>
          <w:sz w:val="32"/>
          <w:szCs w:val="32"/>
          <w:highlight w:val="none"/>
        </w:rPr>
        <w:t>60</w:t>
      </w:r>
      <w:r>
        <w:rPr>
          <w:rFonts w:hint="eastAsia" w:ascii="仿宋_GB2312" w:hAnsi="仿宋_GB2312" w:eastAsia="仿宋_GB2312" w:cs="仿宋_GB2312"/>
          <w:sz w:val="32"/>
          <w:szCs w:val="32"/>
          <w:highlight w:val="none"/>
        </w:rPr>
        <w:t>%预留安装条件</w:t>
      </w:r>
      <w:r>
        <w:rPr>
          <w:rFonts w:hint="eastAsia" w:ascii="仿宋_GB2312" w:hAnsi="仿宋_GB2312" w:eastAsia="仿宋_GB2312" w:cs="仿宋_GB2312"/>
          <w:sz w:val="32"/>
          <w:szCs w:val="32"/>
          <w:highlight w:val="none"/>
          <w:lang w:eastAsia="zh-CN"/>
        </w:rPr>
        <w:t>。</w:t>
      </w:r>
    </w:p>
    <w:p w14:paraId="487A2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十、完善配套设施</w:t>
      </w:r>
    </w:p>
    <w:p w14:paraId="2BA34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sz w:val="32"/>
          <w:szCs w:val="32"/>
          <w:highlight w:val="none"/>
        </w:rPr>
        <w:t>严格落实城市更新、宜居建设相关标准规范，贯彻完整社区、好房子建设要求，</w:t>
      </w:r>
      <w:r>
        <w:rPr>
          <w:rFonts w:hint="eastAsia" w:ascii="仿宋_GB2312" w:hAnsi="仿宋_GB2312" w:eastAsia="仿宋_GB2312" w:cs="仿宋_GB2312"/>
          <w:sz w:val="32"/>
          <w:szCs w:val="32"/>
          <w:highlight w:val="none"/>
          <w:lang w:val="en-US" w:eastAsia="zh-CN"/>
        </w:rPr>
        <w:t>推动</w:t>
      </w:r>
      <w:r>
        <w:rPr>
          <w:rFonts w:hint="eastAsia" w:ascii="仿宋_GB2312" w:hAnsi="仿宋_GB2312" w:eastAsia="仿宋_GB2312" w:cs="仿宋_GB2312"/>
          <w:sz w:val="32"/>
          <w:szCs w:val="32"/>
          <w:highlight w:val="none"/>
        </w:rPr>
        <w:t>适老化、无障碍、绿色低碳</w:t>
      </w:r>
      <w:r>
        <w:rPr>
          <w:rFonts w:hint="eastAsia" w:ascii="仿宋_GB2312" w:hAnsi="仿宋_GB2312" w:eastAsia="仿宋_GB2312" w:cs="仿宋_GB2312"/>
          <w:sz w:val="32"/>
          <w:szCs w:val="32"/>
          <w:highlight w:val="none"/>
          <w:lang w:val="en-US" w:eastAsia="zh-CN"/>
        </w:rPr>
        <w:t>规划</w:t>
      </w:r>
      <w:r>
        <w:rPr>
          <w:rFonts w:hint="eastAsia" w:ascii="仿宋_GB2312" w:hAnsi="仿宋_GB2312" w:eastAsia="仿宋_GB2312" w:cs="仿宋_GB2312"/>
          <w:sz w:val="32"/>
          <w:szCs w:val="32"/>
          <w:highlight w:val="none"/>
        </w:rPr>
        <w:t>建设，按照居住区配套设施设置要求，配建社区服务站、托幼所、托老所、卫生服务站、商业网点等社区服务设施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项目地块应</w:t>
      </w:r>
      <w:r>
        <w:rPr>
          <w:rFonts w:hint="eastAsia" w:ascii="仿宋_GB2312" w:hAnsi="仿宋_GB2312" w:eastAsia="仿宋_GB2312" w:cs="仿宋_GB2312"/>
          <w:sz w:val="32"/>
          <w:szCs w:val="32"/>
          <w:highlight w:val="none"/>
        </w:rPr>
        <w:t>与周边市政管网合理衔接，一次性引接项目用地内的水、电、气、热等各项市政设施内网，并按专项规划、详细规划要求，合理预留规划在项目地块内的开闭所、</w:t>
      </w:r>
      <w:r>
        <w:rPr>
          <w:rFonts w:hint="eastAsia" w:ascii="仿宋_GB2312" w:hAnsi="仿宋_GB2312" w:eastAsia="仿宋_GB2312" w:cs="仿宋_GB2312"/>
          <w:sz w:val="32"/>
          <w:szCs w:val="32"/>
          <w:highlight w:val="none"/>
          <w:lang w:val="en-US" w:eastAsia="zh-CN"/>
        </w:rPr>
        <w:t>地热井、</w:t>
      </w:r>
      <w:r>
        <w:rPr>
          <w:rFonts w:hint="eastAsia" w:ascii="仿宋_GB2312" w:hAnsi="仿宋_GB2312" w:eastAsia="仿宋_GB2312" w:cs="仿宋_GB2312"/>
          <w:sz w:val="32"/>
          <w:szCs w:val="32"/>
          <w:highlight w:val="none"/>
        </w:rPr>
        <w:t>换热站、调压站及垃圾站等公用设施；配套完善管理运营、监控安防、信息网络等智慧设施</w:t>
      </w:r>
      <w:r>
        <w:rPr>
          <w:rFonts w:hint="eastAsia" w:ascii="仿宋_GB2312" w:hAnsi="仿宋_GB2312" w:eastAsia="仿宋_GB2312" w:cs="仿宋_GB2312"/>
          <w:sz w:val="32"/>
          <w:szCs w:val="32"/>
          <w:highlight w:val="none"/>
          <w:lang w:eastAsia="zh-CN"/>
        </w:rPr>
        <w:t>。</w:t>
      </w:r>
    </w:p>
    <w:p w14:paraId="0F9E6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461A0C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C00000"/>
          <w:sz w:val="32"/>
          <w:szCs w:val="32"/>
          <w:highlight w:val="none"/>
          <w:lang w:val="en-US"/>
        </w:rPr>
      </w:pPr>
      <w:r>
        <w:rPr>
          <w:rFonts w:hint="eastAsia" w:ascii="仿宋_GB2312" w:hAnsi="仿宋_GB2312" w:eastAsia="仿宋_GB2312" w:cs="仿宋_GB2312"/>
          <w:color w:val="auto"/>
          <w:sz w:val="32"/>
          <w:szCs w:val="32"/>
          <w:highlight w:val="none"/>
          <w:lang w:val="en-US" w:eastAsia="zh-CN"/>
        </w:rPr>
        <w:t>山西转型综改示范区范围内各类建设项目</w:t>
      </w:r>
      <w:r>
        <w:rPr>
          <w:rFonts w:hint="eastAsia" w:ascii="仿宋_GB2312" w:hAnsi="仿宋_GB2312" w:eastAsia="仿宋_GB2312" w:cs="仿宋_GB2312"/>
          <w:color w:val="auto"/>
          <w:sz w:val="32"/>
          <w:szCs w:val="32"/>
          <w:highlight w:val="none"/>
        </w:rPr>
        <w:t>应严格执行现行国家</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省市</w:t>
      </w:r>
      <w:r>
        <w:rPr>
          <w:rFonts w:hint="eastAsia" w:ascii="仿宋_GB2312" w:hAnsi="仿宋_GB2312" w:eastAsia="仿宋_GB2312" w:cs="仿宋_GB2312"/>
          <w:color w:val="auto"/>
          <w:sz w:val="32"/>
          <w:szCs w:val="32"/>
          <w:highlight w:val="none"/>
          <w:lang w:val="en-US" w:eastAsia="zh-CN"/>
        </w:rPr>
        <w:t>相关政策规定以及行业</w:t>
      </w:r>
      <w:r>
        <w:rPr>
          <w:rFonts w:hint="eastAsia" w:ascii="仿宋_GB2312" w:hAnsi="仿宋_GB2312" w:eastAsia="仿宋_GB2312" w:cs="仿宋_GB2312"/>
          <w:color w:val="auto"/>
          <w:sz w:val="32"/>
          <w:szCs w:val="32"/>
          <w:highlight w:val="none"/>
        </w:rPr>
        <w:t>标准</w:t>
      </w:r>
      <w:r>
        <w:rPr>
          <w:rFonts w:hint="eastAsia" w:ascii="仿宋_GB2312" w:hAnsi="仿宋_GB2312" w:eastAsia="仿宋_GB2312" w:cs="仿宋_GB2312"/>
          <w:color w:val="auto"/>
          <w:sz w:val="32"/>
          <w:szCs w:val="32"/>
          <w:highlight w:val="none"/>
          <w:lang w:val="en-US" w:eastAsia="zh-CN"/>
        </w:rPr>
        <w:t>规范</w:t>
      </w:r>
      <w:r>
        <w:rPr>
          <w:rFonts w:hint="eastAsia" w:ascii="仿宋_GB2312" w:hAnsi="仿宋_GB2312" w:eastAsia="仿宋_GB2312" w:cs="仿宋_GB2312"/>
          <w:color w:val="auto"/>
          <w:sz w:val="32"/>
          <w:szCs w:val="32"/>
          <w:highlight w:val="none"/>
        </w:rPr>
        <w:t>，同时满足本</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highlight w:val="none"/>
        </w:rPr>
        <w:t>的要求。本规定自</w:t>
      </w: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宋体" w:hAnsi="宋体" w:eastAsia="宋体" w:cs="宋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宋体" w:hAnsi="宋体" w:eastAsia="宋体" w:cs="宋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日起实施，有效期五年。原《山西转型综合改革</w:t>
      </w:r>
      <w:r>
        <w:rPr>
          <w:rFonts w:hint="eastAsia" w:ascii="仿宋_GB2312" w:hAnsi="仿宋_GB2312" w:eastAsia="仿宋_GB2312" w:cs="仿宋_GB2312"/>
          <w:sz w:val="32"/>
          <w:szCs w:val="32"/>
          <w:highlight w:val="none"/>
        </w:rPr>
        <w:t>示范区管理委员会关于印发规划建设十条规定的通知》（晋综示发</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2021</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91</w:t>
      </w:r>
      <w:r>
        <w:rPr>
          <w:rFonts w:hint="eastAsia" w:ascii="仿宋_GB2312" w:hAnsi="仿宋_GB2312" w:eastAsia="仿宋_GB2312" w:cs="仿宋_GB2312"/>
          <w:sz w:val="32"/>
          <w:szCs w:val="32"/>
          <w:highlight w:val="none"/>
        </w:rPr>
        <w:t>号）同时废止</w:t>
      </w:r>
      <w:r>
        <w:rPr>
          <w:rFonts w:hint="eastAsia" w:ascii="仿宋_GB2312" w:hAnsi="仿宋_GB2312" w:eastAsia="仿宋_GB2312" w:cs="仿宋_GB2312"/>
          <w:sz w:val="32"/>
          <w:szCs w:val="32"/>
          <w:highlight w:val="none"/>
          <w:lang w:eastAsia="zh-CN"/>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DE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-495300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2446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35pt;margin-top:-39pt;height:144pt;width:144pt;mso-position-horizontal-relative:margin;mso-wrap-style:none;z-index:251659264;mso-width-relative:page;mso-height-relative:page;" filled="f" stroked="f" coordsize="21600,21600" o:gfxdata="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neN5N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0AF2446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C09A7"/>
    <w:rsid w:val="0169458F"/>
    <w:rsid w:val="017E2A82"/>
    <w:rsid w:val="028E6EF5"/>
    <w:rsid w:val="03171BF9"/>
    <w:rsid w:val="03394536"/>
    <w:rsid w:val="0386230A"/>
    <w:rsid w:val="03C774E9"/>
    <w:rsid w:val="03DE3866"/>
    <w:rsid w:val="06971A8D"/>
    <w:rsid w:val="07061550"/>
    <w:rsid w:val="07A33243"/>
    <w:rsid w:val="08302EF4"/>
    <w:rsid w:val="09DD4BEB"/>
    <w:rsid w:val="0A456833"/>
    <w:rsid w:val="0AA2244C"/>
    <w:rsid w:val="0B625E57"/>
    <w:rsid w:val="0B662F05"/>
    <w:rsid w:val="0BB52084"/>
    <w:rsid w:val="0DFA0F39"/>
    <w:rsid w:val="0EA24254"/>
    <w:rsid w:val="0FBE6C9B"/>
    <w:rsid w:val="0FFE56CB"/>
    <w:rsid w:val="10CD30DE"/>
    <w:rsid w:val="120E55B0"/>
    <w:rsid w:val="121360D8"/>
    <w:rsid w:val="131018D8"/>
    <w:rsid w:val="13A50343"/>
    <w:rsid w:val="13BB13BB"/>
    <w:rsid w:val="17057447"/>
    <w:rsid w:val="1739754C"/>
    <w:rsid w:val="17594128"/>
    <w:rsid w:val="18C13DC4"/>
    <w:rsid w:val="19A35EE1"/>
    <w:rsid w:val="1A6608F9"/>
    <w:rsid w:val="1AF80A52"/>
    <w:rsid w:val="1B6E4ADC"/>
    <w:rsid w:val="1C7D00AF"/>
    <w:rsid w:val="1CC618B6"/>
    <w:rsid w:val="1D2B7012"/>
    <w:rsid w:val="1E2366F9"/>
    <w:rsid w:val="1EF36406"/>
    <w:rsid w:val="1F0E1492"/>
    <w:rsid w:val="1F5D2D9A"/>
    <w:rsid w:val="1FD22C77"/>
    <w:rsid w:val="20F20207"/>
    <w:rsid w:val="216C6F04"/>
    <w:rsid w:val="22620514"/>
    <w:rsid w:val="22717AAB"/>
    <w:rsid w:val="22A74473"/>
    <w:rsid w:val="23C72304"/>
    <w:rsid w:val="24E13D38"/>
    <w:rsid w:val="252B17F6"/>
    <w:rsid w:val="26AE0E92"/>
    <w:rsid w:val="26D721C2"/>
    <w:rsid w:val="26EA0A1F"/>
    <w:rsid w:val="27041A65"/>
    <w:rsid w:val="282A5299"/>
    <w:rsid w:val="2A705690"/>
    <w:rsid w:val="2B3D7B55"/>
    <w:rsid w:val="2B4F0B33"/>
    <w:rsid w:val="2C1C4381"/>
    <w:rsid w:val="2CB9754B"/>
    <w:rsid w:val="2CDE6947"/>
    <w:rsid w:val="2D273F07"/>
    <w:rsid w:val="2D8A12EB"/>
    <w:rsid w:val="2DFF1D40"/>
    <w:rsid w:val="30BC2604"/>
    <w:rsid w:val="31951557"/>
    <w:rsid w:val="319D6CD7"/>
    <w:rsid w:val="31CA6116"/>
    <w:rsid w:val="33574D5E"/>
    <w:rsid w:val="33D615E0"/>
    <w:rsid w:val="34640BBE"/>
    <w:rsid w:val="35032E0E"/>
    <w:rsid w:val="352710EF"/>
    <w:rsid w:val="35744F2D"/>
    <w:rsid w:val="35CE67F4"/>
    <w:rsid w:val="365B179F"/>
    <w:rsid w:val="368406E2"/>
    <w:rsid w:val="374C09A7"/>
    <w:rsid w:val="379E73FF"/>
    <w:rsid w:val="37BF2ED1"/>
    <w:rsid w:val="38C2096A"/>
    <w:rsid w:val="3A167BEF"/>
    <w:rsid w:val="3AA85CCA"/>
    <w:rsid w:val="3AEF1D20"/>
    <w:rsid w:val="3B9A69C3"/>
    <w:rsid w:val="3BBF5297"/>
    <w:rsid w:val="3C1124E1"/>
    <w:rsid w:val="3D342DB3"/>
    <w:rsid w:val="3E185BFF"/>
    <w:rsid w:val="3E6969AA"/>
    <w:rsid w:val="3E802756"/>
    <w:rsid w:val="412C0B3C"/>
    <w:rsid w:val="413F0CD4"/>
    <w:rsid w:val="41F37DAC"/>
    <w:rsid w:val="422C6ADD"/>
    <w:rsid w:val="42386A23"/>
    <w:rsid w:val="42C07D98"/>
    <w:rsid w:val="4346632E"/>
    <w:rsid w:val="448F085F"/>
    <w:rsid w:val="455E025D"/>
    <w:rsid w:val="45FB1585"/>
    <w:rsid w:val="46437576"/>
    <w:rsid w:val="46AE54F5"/>
    <w:rsid w:val="46DC6879"/>
    <w:rsid w:val="46E97F6B"/>
    <w:rsid w:val="476C7EB3"/>
    <w:rsid w:val="47D55B24"/>
    <w:rsid w:val="47F26A6C"/>
    <w:rsid w:val="48607974"/>
    <w:rsid w:val="48B64B5F"/>
    <w:rsid w:val="495564A8"/>
    <w:rsid w:val="4A357AE7"/>
    <w:rsid w:val="4B9425A7"/>
    <w:rsid w:val="4BA02823"/>
    <w:rsid w:val="4BAD3F3D"/>
    <w:rsid w:val="4CD34D9C"/>
    <w:rsid w:val="4E3A4FCB"/>
    <w:rsid w:val="525F4E2E"/>
    <w:rsid w:val="528D20F2"/>
    <w:rsid w:val="529534A4"/>
    <w:rsid w:val="52CA73EF"/>
    <w:rsid w:val="52ED0613"/>
    <w:rsid w:val="530A5394"/>
    <w:rsid w:val="534D6A6D"/>
    <w:rsid w:val="536825DE"/>
    <w:rsid w:val="547733B0"/>
    <w:rsid w:val="54A85A33"/>
    <w:rsid w:val="55A30CE4"/>
    <w:rsid w:val="568E6439"/>
    <w:rsid w:val="572C33FA"/>
    <w:rsid w:val="57552F02"/>
    <w:rsid w:val="57684EDC"/>
    <w:rsid w:val="5828642F"/>
    <w:rsid w:val="588103BC"/>
    <w:rsid w:val="59C83A10"/>
    <w:rsid w:val="5A146D6C"/>
    <w:rsid w:val="5A6D3649"/>
    <w:rsid w:val="5BDC2A6D"/>
    <w:rsid w:val="5D7C348F"/>
    <w:rsid w:val="5F5917A7"/>
    <w:rsid w:val="60B15C6D"/>
    <w:rsid w:val="60ED6C7F"/>
    <w:rsid w:val="61AC593C"/>
    <w:rsid w:val="62DE495C"/>
    <w:rsid w:val="631101D6"/>
    <w:rsid w:val="634B7B8C"/>
    <w:rsid w:val="63B07D2A"/>
    <w:rsid w:val="63C74159"/>
    <w:rsid w:val="64524F4A"/>
    <w:rsid w:val="64542A70"/>
    <w:rsid w:val="65CF3FDC"/>
    <w:rsid w:val="65EB11B2"/>
    <w:rsid w:val="667F60F5"/>
    <w:rsid w:val="669A048C"/>
    <w:rsid w:val="66A23F66"/>
    <w:rsid w:val="670844BB"/>
    <w:rsid w:val="67B35CFF"/>
    <w:rsid w:val="6A43162B"/>
    <w:rsid w:val="6B5720D9"/>
    <w:rsid w:val="6B6118B9"/>
    <w:rsid w:val="6CC52710"/>
    <w:rsid w:val="6CCB0057"/>
    <w:rsid w:val="6D6C0E2A"/>
    <w:rsid w:val="6E84551D"/>
    <w:rsid w:val="6EF07AC2"/>
    <w:rsid w:val="6F6E15B6"/>
    <w:rsid w:val="6F7D4C0E"/>
    <w:rsid w:val="70C81FB9"/>
    <w:rsid w:val="714D625C"/>
    <w:rsid w:val="71B0102B"/>
    <w:rsid w:val="72890CA8"/>
    <w:rsid w:val="72915B0A"/>
    <w:rsid w:val="73886292"/>
    <w:rsid w:val="739C78BD"/>
    <w:rsid w:val="744321B9"/>
    <w:rsid w:val="748348B3"/>
    <w:rsid w:val="74FB41DE"/>
    <w:rsid w:val="75540C1A"/>
    <w:rsid w:val="75D144E6"/>
    <w:rsid w:val="76B653BA"/>
    <w:rsid w:val="78692B3E"/>
    <w:rsid w:val="78E27206"/>
    <w:rsid w:val="794C17CC"/>
    <w:rsid w:val="79FD55A8"/>
    <w:rsid w:val="7A0F7764"/>
    <w:rsid w:val="7A4008AB"/>
    <w:rsid w:val="7ABE6533"/>
    <w:rsid w:val="7B4D2527"/>
    <w:rsid w:val="7BB6762C"/>
    <w:rsid w:val="7CC94F1E"/>
    <w:rsid w:val="7D7C2F0A"/>
    <w:rsid w:val="7E225703"/>
    <w:rsid w:val="7F4F0C6F"/>
    <w:rsid w:val="7F8507E3"/>
    <w:rsid w:val="7FB34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3232</Words>
  <Characters>3364</Characters>
  <Lines>0</Lines>
  <Paragraphs>0</Paragraphs>
  <TotalTime>3</TotalTime>
  <ScaleCrop>false</ScaleCrop>
  <LinksUpToDate>false</LinksUpToDate>
  <CharactersWithSpaces>3369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2026-04-07T01:22:00Z</dcterms:created>
  <dc:creator>。</dc:creator>
  <cp:lastModifiedBy>丁汝松</cp:lastModifiedBy>
  <cp:lastPrinted>2026-05-09T07:49:00Z</cp:lastPrinted>
  <dcterms:modified xsi:type="dcterms:W3CDTF">2026-07-06T08:53:06Z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16D87A9A730949B689E6A6A0C524770B_13</vt:lpwstr>
  </property>
  <property fmtid="{D5CDD505-2E9C-101B-9397-08002B2CF9AE}" pid="4" name="KSOTemplateDocerSaveRecord">
    <vt:lpwstr>eyJoZGlkIjoiNWU3Zjg5NTU2ZDY3MzAwNGQ2MWVkN2ViY2I3M2Q0MzUiLCJ1c2VySWQiOiIyMzg0OTM0ODIifQ==</vt:lpwstr>
  </property>
</Properties>
</file>